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E02F" w14:textId="175B406F" w:rsidR="0085395C" w:rsidRPr="0085395C" w:rsidRDefault="0085395C" w:rsidP="0085395C">
      <w:pPr>
        <w:shd w:val="clear" w:color="auto" w:fill="FFFFFF"/>
        <w:spacing w:line="240" w:lineRule="auto"/>
        <w:jc w:val="center"/>
        <w:rPr>
          <w:rFonts w:ascii="Source Sans Pro" w:hAnsi="Source Sans Pro" w:cs="Noto Sans"/>
          <w:b/>
          <w:bCs/>
          <w:color w:val="3C4245"/>
          <w:lang w:val="en-GB"/>
        </w:rPr>
      </w:pPr>
      <w:r w:rsidRPr="0085395C">
        <w:rPr>
          <w:rFonts w:ascii="Source Sans Pro" w:hAnsi="Source Sans Pro" w:cs="Noto Sans"/>
          <w:b/>
          <w:bCs/>
          <w:color w:val="3C4245"/>
          <w:lang w:val="en-GB"/>
        </w:rPr>
        <w:t xml:space="preserve">Fourth High-level Meeting of the UN General Assembly on the </w:t>
      </w:r>
      <w:r w:rsidRPr="0085395C">
        <w:rPr>
          <w:rFonts w:ascii="Source Sans Pro" w:hAnsi="Source Sans Pro" w:cs="Noto Sans"/>
          <w:b/>
          <w:bCs/>
          <w:color w:val="3C4245"/>
          <w:lang w:val="en-GB"/>
        </w:rPr>
        <w:br/>
        <w:t>Prevention and Control of NCDs</w:t>
      </w:r>
    </w:p>
    <w:p w14:paraId="7864DC1C" w14:textId="6DE6F58C" w:rsidR="0085395C" w:rsidRPr="0085395C" w:rsidRDefault="0085395C" w:rsidP="00EB1854">
      <w:pPr>
        <w:shd w:val="clear" w:color="auto" w:fill="FFFFFF"/>
        <w:spacing w:after="0" w:line="240" w:lineRule="auto"/>
        <w:jc w:val="center"/>
        <w:rPr>
          <w:rStyle w:val="Strong"/>
          <w:rFonts w:ascii="Source Sans Pro" w:hAnsi="Source Sans Pro" w:cs="Noto Sans"/>
          <w:color w:val="3C4245"/>
          <w:sz w:val="10"/>
          <w:szCs w:val="10"/>
          <w:lang w:val="en-GB"/>
        </w:rPr>
      </w:pPr>
      <w:r w:rsidRPr="0085395C">
        <w:rPr>
          <w:rFonts w:ascii="Source Sans Pro" w:hAnsi="Source Sans Pro" w:cs="Noto Sans"/>
          <w:b/>
          <w:bCs/>
          <w:color w:val="2F5496" w:themeColor="accent1" w:themeShade="BF"/>
          <w:sz w:val="24"/>
          <w:szCs w:val="24"/>
          <w:lang w:val="en-GB"/>
        </w:rPr>
        <w:t>Web-based consultation:</w:t>
      </w:r>
      <w:r w:rsidR="00EB1854">
        <w:rPr>
          <w:rFonts w:ascii="Source Sans Pro" w:hAnsi="Source Sans Pro" w:cs="Noto Sans"/>
          <w:b/>
          <w:bCs/>
          <w:color w:val="2F5496" w:themeColor="accent1" w:themeShade="BF"/>
          <w:sz w:val="24"/>
          <w:szCs w:val="24"/>
          <w:lang w:val="en-GB"/>
        </w:rPr>
        <w:t xml:space="preserve"> </w:t>
      </w:r>
      <w:r w:rsidR="00D01626">
        <w:rPr>
          <w:rFonts w:ascii="Source Sans Pro" w:hAnsi="Source Sans Pro" w:cs="Noto Sans"/>
          <w:b/>
          <w:bCs/>
          <w:color w:val="2F5496" w:themeColor="accent1" w:themeShade="BF"/>
          <w:sz w:val="24"/>
          <w:szCs w:val="24"/>
          <w:lang w:val="en-GB"/>
        </w:rPr>
        <w:t>Informing</w:t>
      </w:r>
      <w:r w:rsidRPr="0085395C">
        <w:rPr>
          <w:rFonts w:ascii="Source Sans Pro" w:hAnsi="Source Sans Pro" w:cs="Noto Sans"/>
          <w:b/>
          <w:bCs/>
          <w:color w:val="2F5496" w:themeColor="accent1" w:themeShade="BF"/>
          <w:sz w:val="24"/>
          <w:szCs w:val="24"/>
          <w:lang w:val="en-GB"/>
        </w:rPr>
        <w:t xml:space="preserve"> key priorit</w:t>
      </w:r>
      <w:r w:rsidR="00D01626">
        <w:rPr>
          <w:rFonts w:ascii="Source Sans Pro" w:hAnsi="Source Sans Pro" w:cs="Noto Sans"/>
          <w:b/>
          <w:bCs/>
          <w:color w:val="2F5496" w:themeColor="accent1" w:themeShade="BF"/>
          <w:sz w:val="24"/>
          <w:szCs w:val="24"/>
          <w:lang w:val="en-GB"/>
        </w:rPr>
        <w:t>ies before the next</w:t>
      </w:r>
      <w:r w:rsidR="008B0657">
        <w:rPr>
          <w:rFonts w:ascii="Source Sans Pro" w:hAnsi="Source Sans Pro" w:cs="Noto Sans"/>
          <w:b/>
          <w:bCs/>
          <w:color w:val="2F5496" w:themeColor="accent1" w:themeShade="BF"/>
          <w:sz w:val="24"/>
          <w:szCs w:val="24"/>
          <w:lang w:val="en-GB"/>
        </w:rPr>
        <w:br/>
      </w:r>
      <w:r w:rsidR="00D01626">
        <w:rPr>
          <w:rFonts w:ascii="Source Sans Pro" w:hAnsi="Source Sans Pro" w:cs="Noto Sans"/>
          <w:b/>
          <w:bCs/>
          <w:color w:val="2F5496" w:themeColor="accent1" w:themeShade="BF"/>
          <w:sz w:val="24"/>
          <w:szCs w:val="24"/>
          <w:lang w:val="en-GB"/>
        </w:rPr>
        <w:t>High-level meeting on NCDs</w:t>
      </w:r>
      <w:r w:rsidR="005D7013">
        <w:rPr>
          <w:rFonts w:ascii="Source Sans Pro" w:hAnsi="Source Sans Pro" w:cs="Noto Sans"/>
          <w:b/>
          <w:bCs/>
          <w:color w:val="2F5496" w:themeColor="accent1" w:themeShade="BF"/>
          <w:sz w:val="24"/>
          <w:szCs w:val="24"/>
          <w:lang w:val="en-GB"/>
        </w:rPr>
        <w:t xml:space="preserve"> </w:t>
      </w:r>
      <w:r w:rsidR="00EB1854">
        <w:rPr>
          <w:rFonts w:ascii="Source Sans Pro" w:hAnsi="Source Sans Pro" w:cs="Noto Sans"/>
          <w:b/>
          <w:bCs/>
          <w:color w:val="2F5496" w:themeColor="accent1" w:themeShade="BF"/>
          <w:sz w:val="24"/>
          <w:szCs w:val="24"/>
          <w:lang w:val="en-GB"/>
        </w:rPr>
        <w:t>(</w:t>
      </w:r>
      <w:r w:rsidR="00EB1854" w:rsidRPr="0085395C">
        <w:rPr>
          <w:rFonts w:ascii="Source Sans Pro" w:hAnsi="Source Sans Pro" w:cs="Noto Sans"/>
          <w:b/>
          <w:bCs/>
          <w:color w:val="2F5496" w:themeColor="accent1" w:themeShade="BF"/>
          <w:sz w:val="24"/>
          <w:szCs w:val="24"/>
          <w:lang w:val="en-GB"/>
        </w:rPr>
        <w:t>Phase I</w:t>
      </w:r>
      <w:r w:rsidR="003942DA">
        <w:rPr>
          <w:rFonts w:ascii="Source Sans Pro" w:hAnsi="Source Sans Pro" w:cs="Noto Sans"/>
          <w:b/>
          <w:bCs/>
          <w:color w:val="2F5496" w:themeColor="accent1" w:themeShade="BF"/>
          <w:sz w:val="24"/>
          <w:szCs w:val="24"/>
          <w:lang w:val="en-GB"/>
        </w:rPr>
        <w:t>:</w:t>
      </w:r>
      <w:r w:rsidR="00EB1854" w:rsidRPr="0085395C">
        <w:rPr>
          <w:rFonts w:ascii="Source Sans Pro" w:hAnsi="Source Sans Pro" w:cs="Noto Sans"/>
          <w:b/>
          <w:bCs/>
          <w:color w:val="2F5496" w:themeColor="accent1" w:themeShade="BF"/>
          <w:sz w:val="24"/>
          <w:szCs w:val="24"/>
          <w:lang w:val="en-GB"/>
        </w:rPr>
        <w:t xml:space="preserve"> </w:t>
      </w:r>
      <w:r w:rsidR="00EB1854">
        <w:rPr>
          <w:rFonts w:ascii="Source Sans Pro" w:hAnsi="Source Sans Pro" w:cs="Noto Sans"/>
          <w:b/>
          <w:bCs/>
          <w:color w:val="2F5496" w:themeColor="accent1" w:themeShade="BF"/>
          <w:sz w:val="24"/>
          <w:szCs w:val="24"/>
          <w:lang w:val="en-GB"/>
        </w:rPr>
        <w:t>1</w:t>
      </w:r>
      <w:r w:rsidR="00804EEF">
        <w:rPr>
          <w:rFonts w:ascii="Source Sans Pro" w:hAnsi="Source Sans Pro" w:cs="Noto Sans"/>
          <w:b/>
          <w:bCs/>
          <w:color w:val="2F5496" w:themeColor="accent1" w:themeShade="BF"/>
          <w:sz w:val="24"/>
          <w:szCs w:val="24"/>
          <w:lang w:val="en-GB"/>
        </w:rPr>
        <w:t xml:space="preserve"> May</w:t>
      </w:r>
      <w:r w:rsidR="00EB1854" w:rsidRPr="0085395C">
        <w:rPr>
          <w:rFonts w:ascii="Source Sans Pro" w:hAnsi="Source Sans Pro" w:cs="Noto Sans"/>
          <w:b/>
          <w:bCs/>
          <w:color w:val="2F5496" w:themeColor="accent1" w:themeShade="BF"/>
          <w:sz w:val="24"/>
          <w:szCs w:val="24"/>
          <w:lang w:val="en-GB"/>
        </w:rPr>
        <w:t>–</w:t>
      </w:r>
      <w:r w:rsidR="00804EEF">
        <w:rPr>
          <w:rFonts w:ascii="Source Sans Pro" w:hAnsi="Source Sans Pro" w:cs="Noto Sans"/>
          <w:b/>
          <w:bCs/>
          <w:color w:val="2F5496" w:themeColor="accent1" w:themeShade="BF"/>
          <w:sz w:val="24"/>
          <w:szCs w:val="24"/>
          <w:lang w:val="en-GB"/>
        </w:rPr>
        <w:t>17</w:t>
      </w:r>
      <w:r w:rsidR="00EB1854" w:rsidRPr="0085395C">
        <w:rPr>
          <w:rFonts w:ascii="Source Sans Pro" w:hAnsi="Source Sans Pro" w:cs="Noto Sans"/>
          <w:b/>
          <w:bCs/>
          <w:color w:val="2F5496" w:themeColor="accent1" w:themeShade="BF"/>
          <w:sz w:val="24"/>
          <w:szCs w:val="24"/>
          <w:lang w:val="en-GB"/>
        </w:rPr>
        <w:t xml:space="preserve"> </w:t>
      </w:r>
      <w:r w:rsidR="00804EEF">
        <w:rPr>
          <w:rFonts w:ascii="Source Sans Pro" w:hAnsi="Source Sans Pro" w:cs="Noto Sans"/>
          <w:b/>
          <w:bCs/>
          <w:color w:val="2F5496" w:themeColor="accent1" w:themeShade="BF"/>
          <w:sz w:val="24"/>
          <w:szCs w:val="24"/>
          <w:lang w:val="en-GB"/>
        </w:rPr>
        <w:t>June</w:t>
      </w:r>
      <w:r w:rsidR="00EB1854" w:rsidRPr="0085395C">
        <w:rPr>
          <w:rFonts w:ascii="Source Sans Pro" w:hAnsi="Source Sans Pro" w:cs="Noto Sans"/>
          <w:b/>
          <w:bCs/>
          <w:color w:val="2F5496" w:themeColor="accent1" w:themeShade="BF"/>
          <w:sz w:val="24"/>
          <w:szCs w:val="24"/>
          <w:lang w:val="en-GB"/>
        </w:rPr>
        <w:t xml:space="preserve"> 2024)</w:t>
      </w:r>
      <w:r w:rsidRPr="0085395C">
        <w:rPr>
          <w:rFonts w:ascii="Source Sans Pro" w:hAnsi="Source Sans Pro" w:cs="Noto Sans"/>
          <w:b/>
          <w:bCs/>
          <w:color w:val="3C4245"/>
          <w:sz w:val="30"/>
          <w:szCs w:val="30"/>
          <w:lang w:val="en-GB"/>
        </w:rPr>
        <w:br/>
      </w:r>
    </w:p>
    <w:p w14:paraId="505D0B31" w14:textId="77777777" w:rsidR="0085395C" w:rsidRPr="0085395C" w:rsidRDefault="0085395C" w:rsidP="0085395C">
      <w:pPr>
        <w:shd w:val="clear" w:color="auto" w:fill="FFFFFF"/>
        <w:rPr>
          <w:rStyle w:val="Strong"/>
          <w:rFonts w:ascii="Source Sans Pro" w:hAnsi="Source Sans Pro" w:cstheme="minorHAnsi"/>
          <w:shd w:val="clear" w:color="auto" w:fill="FFFFFF"/>
          <w:lang w:val="en-GB"/>
        </w:rPr>
      </w:pPr>
      <w:r w:rsidRPr="0085395C">
        <w:rPr>
          <w:rStyle w:val="Strong"/>
          <w:rFonts w:ascii="Source Sans Pro" w:hAnsi="Source Sans Pro" w:cstheme="minorHAnsi"/>
          <w:shd w:val="clear" w:color="auto" w:fill="FFFFFF"/>
          <w:lang w:val="en-GB"/>
        </w:rPr>
        <w:t>Directions</w:t>
      </w:r>
    </w:p>
    <w:p w14:paraId="1C833BBB" w14:textId="05DD1326" w:rsidR="0085395C" w:rsidRPr="0085395C" w:rsidRDefault="0085395C" w:rsidP="0085395C">
      <w:pPr>
        <w:shd w:val="clear" w:color="auto" w:fill="FFFFFF"/>
        <w:rPr>
          <w:rStyle w:val="normaltextrun"/>
          <w:rFonts w:ascii="Source Sans Pro" w:hAnsi="Source Sans Pro" w:cs="Calibri"/>
          <w:color w:val="000000"/>
          <w:shd w:val="clear" w:color="auto" w:fill="FFFFFF"/>
          <w:lang w:val="en-GB"/>
        </w:rPr>
      </w:pPr>
      <w:r w:rsidRPr="0085395C">
        <w:rPr>
          <w:rStyle w:val="normaltextrun"/>
          <w:rFonts w:ascii="Source Sans Pro" w:hAnsi="Source Sans Pro" w:cs="Calibri"/>
          <w:color w:val="000000"/>
          <w:shd w:val="clear" w:color="auto" w:fill="FFFFFF"/>
          <w:lang w:val="en-GB"/>
        </w:rPr>
        <w:t xml:space="preserve">The </w:t>
      </w:r>
      <w:r w:rsidRPr="0085395C">
        <w:rPr>
          <w:rStyle w:val="normaltextrun"/>
          <w:rFonts w:ascii="Source Sans Pro" w:hAnsi="Source Sans Pro" w:cs="Calibri"/>
          <w:i/>
          <w:iCs/>
          <w:color w:val="000000"/>
          <w:shd w:val="clear" w:color="auto" w:fill="FFFFFF"/>
          <w:lang w:val="en-GB"/>
        </w:rPr>
        <w:t>WHO Global action plan for the prevention and control of noncommunicable diseases 2013–2030</w:t>
      </w:r>
      <w:r w:rsidRPr="0085395C">
        <w:rPr>
          <w:rStyle w:val="normaltextrun"/>
          <w:rFonts w:ascii="Source Sans Pro" w:hAnsi="Source Sans Pro" w:cs="Calibri"/>
          <w:color w:val="000000"/>
          <w:shd w:val="clear" w:color="auto" w:fill="FFFFFF"/>
          <w:lang w:val="en-GB"/>
        </w:rPr>
        <w:t xml:space="preserve"> (</w:t>
      </w:r>
      <w:hyperlink r:id="rId4" w:history="1">
        <w:r w:rsidRPr="0085395C">
          <w:rPr>
            <w:rStyle w:val="Hyperlink"/>
            <w:rFonts w:ascii="Source Sans Pro" w:hAnsi="Source Sans Pro" w:cs="Calibri"/>
            <w:shd w:val="clear" w:color="auto" w:fill="FFFFFF"/>
            <w:lang w:val="en-GB"/>
          </w:rPr>
          <w:t>NCD-GAP</w:t>
        </w:r>
      </w:hyperlink>
      <w:r w:rsidRPr="0085395C">
        <w:rPr>
          <w:rStyle w:val="normaltextrun"/>
          <w:rFonts w:ascii="Source Sans Pro" w:hAnsi="Source Sans Pro" w:cs="Calibri"/>
          <w:color w:val="000000"/>
          <w:shd w:val="clear" w:color="auto" w:fill="FFFFFF"/>
          <w:lang w:val="en-GB"/>
        </w:rPr>
        <w:t>) provides a road map and a menu of policy options for all Member States and stakeholders, to take coordinated and coherent action, at all levels, to attain the nine voluntary global targets</w:t>
      </w:r>
      <w:r w:rsidR="00183945">
        <w:rPr>
          <w:rStyle w:val="normaltextrun"/>
          <w:rFonts w:ascii="Source Sans Pro" w:hAnsi="Source Sans Pro" w:cs="Calibri"/>
          <w:color w:val="000000"/>
          <w:shd w:val="clear" w:color="auto" w:fill="FFFFFF"/>
          <w:lang w:val="en-GB"/>
        </w:rPr>
        <w:t xml:space="preserve"> on NCDs</w:t>
      </w:r>
      <w:r w:rsidRPr="0085395C">
        <w:rPr>
          <w:rStyle w:val="normaltextrun"/>
          <w:rFonts w:ascii="Source Sans Pro" w:hAnsi="Source Sans Pro" w:cs="Calibri"/>
          <w:color w:val="000000"/>
          <w:shd w:val="clear" w:color="auto" w:fill="FFFFFF"/>
          <w:lang w:val="en-GB"/>
        </w:rPr>
        <w:t>.</w:t>
      </w:r>
      <w:r w:rsidR="00C12CD8">
        <w:rPr>
          <w:rStyle w:val="normaltextrun"/>
          <w:rFonts w:ascii="Source Sans Pro" w:hAnsi="Source Sans Pro" w:cs="Calibri"/>
          <w:color w:val="000000"/>
          <w:shd w:val="clear" w:color="auto" w:fill="FFFFFF"/>
          <w:lang w:val="en-GB"/>
        </w:rPr>
        <w:t xml:space="preserve"> In addition, sustainable development goal (SDG) target 3.4 calls for a reduction by one third of premature mortality from NCDs through prevention and treatment </w:t>
      </w:r>
      <w:r w:rsidR="00FE4349">
        <w:rPr>
          <w:rStyle w:val="normaltextrun"/>
          <w:rFonts w:ascii="Source Sans Pro" w:hAnsi="Source Sans Pro" w:cs="Calibri"/>
          <w:color w:val="000000"/>
          <w:shd w:val="clear" w:color="auto" w:fill="FFFFFF"/>
          <w:lang w:val="en-GB"/>
        </w:rPr>
        <w:t>and the promotion of mental health and well-being, by 2030.</w:t>
      </w:r>
      <w:r w:rsidRPr="0085395C">
        <w:rPr>
          <w:rStyle w:val="normaltextrun"/>
          <w:rFonts w:ascii="Source Sans Pro" w:hAnsi="Source Sans Pro" w:cs="Calibri"/>
          <w:color w:val="000000"/>
          <w:shd w:val="clear" w:color="auto" w:fill="FFFFFF"/>
          <w:lang w:val="en-GB"/>
        </w:rPr>
        <w:t xml:space="preserve"> Accelerating progress on the prevention and control of NCDs, and mental health and well-being will require dedicated and collaborative actions along all six objectives of the NCD-GAP, with an added focus to reduce air pollution and promote mental health as part of the 5 by 5 agenda endorsed by the </w:t>
      </w:r>
      <w:r w:rsidRPr="0085395C">
        <w:rPr>
          <w:rStyle w:val="normaltextrun"/>
          <w:rFonts w:ascii="Source Sans Pro" w:hAnsi="Source Sans Pro" w:cs="Calibri"/>
          <w:color w:val="000000"/>
          <w:bdr w:val="none" w:sz="0" w:space="0" w:color="auto" w:frame="1"/>
          <w:lang w:val="en-GB"/>
        </w:rPr>
        <w:t>third political declaration on the prevention and control of NCDs in 2018.</w:t>
      </w:r>
    </w:p>
    <w:p w14:paraId="7197421B" w14:textId="71938E88" w:rsidR="0085395C" w:rsidRPr="0085395C" w:rsidRDefault="0085395C" w:rsidP="00832C91">
      <w:pPr>
        <w:shd w:val="clear" w:color="auto" w:fill="FFFFFF" w:themeFill="background1"/>
        <w:spacing w:after="240" w:line="240" w:lineRule="auto"/>
        <w:rPr>
          <w:rFonts w:ascii="Source Sans Pro" w:hAnsi="Source Sans Pro" w:cstheme="minorHAnsi"/>
          <w:shd w:val="clear" w:color="auto" w:fill="FFFFFF"/>
          <w:lang w:val="en-GB"/>
        </w:rPr>
      </w:pPr>
      <w:r w:rsidRPr="0085395C">
        <w:rPr>
          <w:rStyle w:val="Strong"/>
          <w:rFonts w:ascii="Source Sans Pro" w:hAnsi="Source Sans Pro" w:cstheme="minorHAnsi"/>
          <w:shd w:val="clear" w:color="auto" w:fill="FFFFFF"/>
          <w:lang w:val="en-GB"/>
        </w:rPr>
        <w:t xml:space="preserve">Using the table below, please provide written comments on key priority areas along each objective </w:t>
      </w:r>
      <w:r w:rsidRPr="0085395C">
        <w:rPr>
          <w:rStyle w:val="Strong"/>
          <w:rFonts w:ascii="Source Sans Pro" w:hAnsi="Source Sans Pro"/>
          <w:shd w:val="clear" w:color="auto" w:fill="FFFFFF"/>
          <w:lang w:val="en-GB"/>
        </w:rPr>
        <w:t xml:space="preserve">that can catalyse urgent action and attention </w:t>
      </w:r>
      <w:r w:rsidRPr="0085395C">
        <w:rPr>
          <w:rStyle w:val="Strong"/>
          <w:rFonts w:ascii="Source Sans Pro" w:hAnsi="Source Sans Pro" w:cstheme="minorHAnsi"/>
          <w:shd w:val="clear" w:color="auto" w:fill="FFFFFF"/>
          <w:lang w:val="en-GB"/>
        </w:rPr>
        <w:t>by Member States and stakeholders, to accelerate progress in addressing the prevention and management of NCDs, the promotion of mental health and well-being, and the treatment and care of mental health conditions</w:t>
      </w:r>
      <w:r w:rsidRPr="00B9343A">
        <w:rPr>
          <w:rStyle w:val="Strong"/>
          <w:rFonts w:ascii="Source Sans Pro" w:hAnsi="Source Sans Pro" w:cstheme="minorHAnsi"/>
          <w:b w:val="0"/>
          <w:bCs w:val="0"/>
          <w:shd w:val="clear" w:color="auto" w:fill="FFFFFF"/>
          <w:lang w:val="en-GB"/>
        </w:rPr>
        <w:t>.</w:t>
      </w:r>
    </w:p>
    <w:tbl>
      <w:tblPr>
        <w:tblW w:w="10350" w:type="dxa"/>
        <w:tblInd w:w="82" w:type="dxa"/>
        <w:tblBorders>
          <w:top w:val="single" w:sz="2" w:space="0" w:color="009ADE"/>
          <w:left w:val="single" w:sz="2" w:space="0" w:color="009ADE"/>
          <w:bottom w:val="single" w:sz="2" w:space="0" w:color="009ADE"/>
          <w:right w:val="single" w:sz="2" w:space="0" w:color="009ADE"/>
          <w:insideH w:val="single" w:sz="2" w:space="0" w:color="009ADE"/>
          <w:insideV w:val="single" w:sz="2" w:space="0" w:color="009AD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950"/>
        <w:gridCol w:w="4950"/>
      </w:tblGrid>
      <w:tr w:rsidR="0085395C" w:rsidRPr="0085395C" w14:paraId="176584E1" w14:textId="77777777" w:rsidTr="0085395C">
        <w:trPr>
          <w:trHeight w:val="345"/>
        </w:trPr>
        <w:tc>
          <w:tcPr>
            <w:tcW w:w="450" w:type="dxa"/>
            <w:shd w:val="clear" w:color="auto" w:fill="009ADE"/>
            <w:hideMark/>
          </w:tcPr>
          <w:p w14:paraId="52D00975" w14:textId="53D889DA" w:rsidR="0085395C" w:rsidRPr="0085395C" w:rsidRDefault="0085395C" w:rsidP="0085395C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Segoe UI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85395C">
              <w:rPr>
                <w:rFonts w:ascii="Source Sans Pro" w:eastAsia="Times New Roman" w:hAnsi="Source Sans Pro" w:cs="Calibri"/>
                <w:b/>
                <w:bCs/>
                <w:color w:val="FFFFFF"/>
                <w:lang w:val="en-GB"/>
              </w:rPr>
              <w:t>#</w:t>
            </w:r>
          </w:p>
        </w:tc>
        <w:tc>
          <w:tcPr>
            <w:tcW w:w="4950" w:type="dxa"/>
            <w:shd w:val="clear" w:color="auto" w:fill="009ADE"/>
            <w:hideMark/>
          </w:tcPr>
          <w:p w14:paraId="1207ACE4" w14:textId="0A845662" w:rsidR="0085395C" w:rsidRPr="0085395C" w:rsidRDefault="0085395C" w:rsidP="0050580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85395C">
              <w:rPr>
                <w:rFonts w:ascii="Source Sans Pro" w:eastAsia="Times New Roman" w:hAnsi="Source Sans Pro" w:cs="Calibri"/>
                <w:b/>
                <w:bCs/>
                <w:color w:val="FFFFFF"/>
                <w:lang w:val="en-GB"/>
              </w:rPr>
              <w:t>NCD-GAP objective </w:t>
            </w:r>
          </w:p>
        </w:tc>
        <w:tc>
          <w:tcPr>
            <w:tcW w:w="4950" w:type="dxa"/>
            <w:shd w:val="clear" w:color="auto" w:fill="009ADE"/>
            <w:hideMark/>
          </w:tcPr>
          <w:p w14:paraId="4B806312" w14:textId="77777777" w:rsidR="0085395C" w:rsidRPr="0085395C" w:rsidRDefault="0085395C" w:rsidP="0050580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85395C">
              <w:rPr>
                <w:rFonts w:ascii="Source Sans Pro" w:eastAsia="Times New Roman" w:hAnsi="Source Sans Pro" w:cs="Calibri"/>
                <w:b/>
                <w:bCs/>
                <w:color w:val="FFFFFF"/>
                <w:lang w:val="en-GB"/>
              </w:rPr>
              <w:t>Comments on key priority areas</w:t>
            </w:r>
          </w:p>
        </w:tc>
      </w:tr>
      <w:tr w:rsidR="0085395C" w:rsidRPr="0085395C" w14:paraId="4B416B45" w14:textId="77777777" w:rsidTr="0085395C">
        <w:trPr>
          <w:trHeight w:val="1011"/>
        </w:trPr>
        <w:tc>
          <w:tcPr>
            <w:tcW w:w="450" w:type="dxa"/>
            <w:shd w:val="clear" w:color="auto" w:fill="FFFFFF"/>
            <w:vAlign w:val="center"/>
            <w:hideMark/>
          </w:tcPr>
          <w:p w14:paraId="2CA76F53" w14:textId="77777777" w:rsidR="0085395C" w:rsidRPr="0085395C" w:rsidRDefault="0085395C" w:rsidP="00505809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Segoe UI"/>
                <w:b/>
                <w:bCs/>
                <w:sz w:val="18"/>
                <w:szCs w:val="18"/>
                <w:lang w:val="en-GB"/>
              </w:rPr>
            </w:pPr>
            <w:r w:rsidRPr="0085395C">
              <w:rPr>
                <w:rFonts w:ascii="Source Sans Pro" w:eastAsia="Times New Roman" w:hAnsi="Source Sans Pro" w:cs="Calibri"/>
                <w:b/>
                <w:bCs/>
                <w:lang w:val="en-GB"/>
              </w:rPr>
              <w:t>1</w:t>
            </w:r>
          </w:p>
        </w:tc>
        <w:tc>
          <w:tcPr>
            <w:tcW w:w="4950" w:type="dxa"/>
            <w:shd w:val="clear" w:color="auto" w:fill="auto"/>
            <w:hideMark/>
          </w:tcPr>
          <w:p w14:paraId="2E6696D9" w14:textId="77777777" w:rsidR="0085395C" w:rsidRPr="0085395C" w:rsidRDefault="0085395C" w:rsidP="0085395C">
            <w:pPr>
              <w:spacing w:after="0" w:line="240" w:lineRule="auto"/>
              <w:ind w:left="32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GB"/>
              </w:rPr>
            </w:pPr>
            <w:r w:rsidRPr="0085395C">
              <w:rPr>
                <w:rFonts w:ascii="Source Sans Pro" w:eastAsia="Times New Roman" w:hAnsi="Source Sans Pro" w:cs="Calibri"/>
                <w:lang w:val="en-GB"/>
              </w:rPr>
              <w:t>To raise the priority accorded to the prevention and control of noncommunicable diseases in global, regional and national agendas and internationally agreed development goals, through strengthened international cooperation and advocacy.  </w:t>
            </w:r>
          </w:p>
        </w:tc>
        <w:tc>
          <w:tcPr>
            <w:tcW w:w="4950" w:type="dxa"/>
            <w:shd w:val="clear" w:color="auto" w:fill="auto"/>
            <w:hideMark/>
          </w:tcPr>
          <w:p w14:paraId="30B5D88D" w14:textId="77777777" w:rsidR="0085395C" w:rsidRPr="0085395C" w:rsidRDefault="0085395C" w:rsidP="00505809">
            <w:pPr>
              <w:spacing w:after="0" w:line="240" w:lineRule="auto"/>
              <w:ind w:left="1080"/>
              <w:textAlignment w:val="baseline"/>
              <w:rPr>
                <w:rFonts w:ascii="Source Sans Pro" w:eastAsia="Times New Roman" w:hAnsi="Source Sans Pro" w:cs="Calibri"/>
                <w:lang w:val="en-GB"/>
              </w:rPr>
            </w:pPr>
          </w:p>
        </w:tc>
      </w:tr>
      <w:tr w:rsidR="0085395C" w:rsidRPr="0085395C" w14:paraId="1EB73063" w14:textId="77777777" w:rsidTr="0085395C">
        <w:trPr>
          <w:trHeight w:val="993"/>
        </w:trPr>
        <w:tc>
          <w:tcPr>
            <w:tcW w:w="450" w:type="dxa"/>
            <w:shd w:val="clear" w:color="auto" w:fill="FFFFFF"/>
            <w:vAlign w:val="center"/>
            <w:hideMark/>
          </w:tcPr>
          <w:p w14:paraId="27BD0BF0" w14:textId="77777777" w:rsidR="0085395C" w:rsidRPr="0085395C" w:rsidRDefault="0085395C" w:rsidP="00505809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Segoe UI"/>
                <w:b/>
                <w:bCs/>
                <w:sz w:val="18"/>
                <w:szCs w:val="18"/>
                <w:lang w:val="en-GB"/>
              </w:rPr>
            </w:pPr>
            <w:r w:rsidRPr="0085395C">
              <w:rPr>
                <w:rFonts w:ascii="Source Sans Pro" w:eastAsia="Times New Roman" w:hAnsi="Source Sans Pro" w:cs="Calibri"/>
                <w:b/>
                <w:bCs/>
                <w:lang w:val="en-GB"/>
              </w:rPr>
              <w:t>2</w:t>
            </w:r>
          </w:p>
        </w:tc>
        <w:tc>
          <w:tcPr>
            <w:tcW w:w="4950" w:type="dxa"/>
            <w:shd w:val="clear" w:color="auto" w:fill="auto"/>
            <w:hideMark/>
          </w:tcPr>
          <w:p w14:paraId="1A7FAFCF" w14:textId="77777777" w:rsidR="0085395C" w:rsidRPr="0085395C" w:rsidRDefault="0085395C" w:rsidP="0085395C">
            <w:pPr>
              <w:spacing w:after="0" w:line="240" w:lineRule="auto"/>
              <w:ind w:left="32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GB"/>
              </w:rPr>
            </w:pPr>
            <w:r w:rsidRPr="0085395C">
              <w:rPr>
                <w:rFonts w:ascii="Source Sans Pro" w:eastAsia="Times New Roman" w:hAnsi="Source Sans Pro" w:cs="Calibri"/>
                <w:lang w:val="en-GB"/>
              </w:rPr>
              <w:t>To strengthen national capacity, leadership, governance, multisectoral action and partnerships to accelerate country response for the prevention and control of noncommunicable diseases.</w:t>
            </w:r>
          </w:p>
        </w:tc>
        <w:tc>
          <w:tcPr>
            <w:tcW w:w="4950" w:type="dxa"/>
            <w:shd w:val="clear" w:color="auto" w:fill="auto"/>
            <w:hideMark/>
          </w:tcPr>
          <w:p w14:paraId="2F8865D4" w14:textId="77777777" w:rsidR="0085395C" w:rsidRPr="0085395C" w:rsidRDefault="0085395C" w:rsidP="0050580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GB"/>
              </w:rPr>
            </w:pPr>
            <w:r w:rsidRPr="0085395C">
              <w:rPr>
                <w:rFonts w:ascii="Source Sans Pro" w:eastAsia="Times New Roman" w:hAnsi="Source Sans Pro" w:cs="Calibri"/>
                <w:lang w:val="en-GB"/>
              </w:rPr>
              <w:t> </w:t>
            </w:r>
          </w:p>
        </w:tc>
      </w:tr>
      <w:tr w:rsidR="0085395C" w:rsidRPr="0085395C" w14:paraId="32A3D3F7" w14:textId="77777777" w:rsidTr="0085395C">
        <w:trPr>
          <w:trHeight w:val="723"/>
        </w:trPr>
        <w:tc>
          <w:tcPr>
            <w:tcW w:w="450" w:type="dxa"/>
            <w:shd w:val="clear" w:color="auto" w:fill="FFFFFF"/>
            <w:vAlign w:val="center"/>
            <w:hideMark/>
          </w:tcPr>
          <w:p w14:paraId="74C80C8B" w14:textId="77777777" w:rsidR="0085395C" w:rsidRPr="0085395C" w:rsidRDefault="0085395C" w:rsidP="00505809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Segoe UI"/>
                <w:b/>
                <w:bCs/>
                <w:sz w:val="18"/>
                <w:szCs w:val="18"/>
                <w:lang w:val="en-GB"/>
              </w:rPr>
            </w:pPr>
            <w:r w:rsidRPr="0085395C">
              <w:rPr>
                <w:rFonts w:ascii="Source Sans Pro" w:eastAsia="Times New Roman" w:hAnsi="Source Sans Pro" w:cs="Calibri"/>
                <w:b/>
                <w:bCs/>
                <w:lang w:val="en-GB"/>
              </w:rPr>
              <w:t>3</w:t>
            </w:r>
          </w:p>
        </w:tc>
        <w:tc>
          <w:tcPr>
            <w:tcW w:w="4950" w:type="dxa"/>
            <w:shd w:val="clear" w:color="auto" w:fill="auto"/>
            <w:hideMark/>
          </w:tcPr>
          <w:p w14:paraId="399634BF" w14:textId="77777777" w:rsidR="0085395C" w:rsidRPr="0085395C" w:rsidRDefault="0085395C" w:rsidP="0085395C">
            <w:pPr>
              <w:spacing w:after="0" w:line="240" w:lineRule="auto"/>
              <w:ind w:left="32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GB"/>
              </w:rPr>
            </w:pPr>
            <w:r w:rsidRPr="0085395C">
              <w:rPr>
                <w:rFonts w:ascii="Source Sans Pro" w:eastAsia="Times New Roman" w:hAnsi="Source Sans Pro" w:cs="Calibri"/>
                <w:lang w:val="en-GB"/>
              </w:rPr>
              <w:t>To reduce modifiable risk factors for noncommunicable diseases and underlying social determinants through creation of health-promoting environments.  </w:t>
            </w:r>
          </w:p>
        </w:tc>
        <w:tc>
          <w:tcPr>
            <w:tcW w:w="4950" w:type="dxa"/>
            <w:shd w:val="clear" w:color="auto" w:fill="auto"/>
            <w:hideMark/>
          </w:tcPr>
          <w:p w14:paraId="52724DCA" w14:textId="77777777" w:rsidR="0085395C" w:rsidRPr="0085395C" w:rsidRDefault="0085395C" w:rsidP="0050580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GB"/>
              </w:rPr>
            </w:pPr>
            <w:r w:rsidRPr="0085395C">
              <w:rPr>
                <w:rFonts w:ascii="Source Sans Pro" w:eastAsia="Times New Roman" w:hAnsi="Source Sans Pro" w:cs="Calibri"/>
                <w:lang w:val="en-GB"/>
              </w:rPr>
              <w:t> </w:t>
            </w:r>
          </w:p>
          <w:p w14:paraId="061F2663" w14:textId="77777777" w:rsidR="0085395C" w:rsidRPr="0085395C" w:rsidRDefault="0085395C" w:rsidP="0050580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GB"/>
              </w:rPr>
            </w:pPr>
            <w:r w:rsidRPr="0085395C">
              <w:rPr>
                <w:rFonts w:ascii="Source Sans Pro" w:eastAsia="Times New Roman" w:hAnsi="Source Sans Pro" w:cs="Calibri"/>
                <w:lang w:val="en-GB"/>
              </w:rPr>
              <w:t> </w:t>
            </w:r>
          </w:p>
          <w:p w14:paraId="74105BEF" w14:textId="77777777" w:rsidR="0085395C" w:rsidRPr="0085395C" w:rsidRDefault="0085395C" w:rsidP="0050580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GB"/>
              </w:rPr>
            </w:pPr>
            <w:r w:rsidRPr="0085395C">
              <w:rPr>
                <w:rFonts w:ascii="Source Sans Pro" w:eastAsia="Times New Roman" w:hAnsi="Source Sans Pro" w:cs="Calibri"/>
                <w:lang w:val="en-GB"/>
              </w:rPr>
              <w:t> </w:t>
            </w:r>
          </w:p>
        </w:tc>
      </w:tr>
      <w:tr w:rsidR="0085395C" w:rsidRPr="0085395C" w14:paraId="6F123369" w14:textId="77777777" w:rsidTr="0085395C">
        <w:trPr>
          <w:trHeight w:val="993"/>
        </w:trPr>
        <w:tc>
          <w:tcPr>
            <w:tcW w:w="450" w:type="dxa"/>
            <w:shd w:val="clear" w:color="auto" w:fill="FFFFFF"/>
            <w:vAlign w:val="center"/>
            <w:hideMark/>
          </w:tcPr>
          <w:p w14:paraId="5207732F" w14:textId="77777777" w:rsidR="0085395C" w:rsidRPr="0085395C" w:rsidRDefault="0085395C" w:rsidP="00505809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Segoe UI"/>
                <w:b/>
                <w:bCs/>
                <w:sz w:val="18"/>
                <w:szCs w:val="18"/>
                <w:lang w:val="en-GB"/>
              </w:rPr>
            </w:pPr>
            <w:r w:rsidRPr="0085395C">
              <w:rPr>
                <w:rFonts w:ascii="Source Sans Pro" w:eastAsia="Times New Roman" w:hAnsi="Source Sans Pro" w:cs="Calibri"/>
                <w:b/>
                <w:bCs/>
                <w:lang w:val="en-GB"/>
              </w:rPr>
              <w:t>4</w:t>
            </w:r>
          </w:p>
        </w:tc>
        <w:tc>
          <w:tcPr>
            <w:tcW w:w="4950" w:type="dxa"/>
            <w:shd w:val="clear" w:color="auto" w:fill="auto"/>
            <w:hideMark/>
          </w:tcPr>
          <w:p w14:paraId="02DAC4B8" w14:textId="77777777" w:rsidR="0085395C" w:rsidRPr="0085395C" w:rsidRDefault="0085395C" w:rsidP="0085395C">
            <w:pPr>
              <w:spacing w:after="0" w:line="240" w:lineRule="auto"/>
              <w:ind w:left="32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GB"/>
              </w:rPr>
            </w:pPr>
            <w:r w:rsidRPr="0085395C">
              <w:rPr>
                <w:rFonts w:ascii="Source Sans Pro" w:eastAsia="Times New Roman" w:hAnsi="Source Sans Pro" w:cs="Calibri"/>
                <w:lang w:val="en-GB"/>
              </w:rPr>
              <w:t>To strengthen and orient health systems to address the prevention and control of noncommunicable diseases and the underlying social determinants through people-centred primary health care and universal health coverage.  </w:t>
            </w:r>
          </w:p>
        </w:tc>
        <w:tc>
          <w:tcPr>
            <w:tcW w:w="4950" w:type="dxa"/>
            <w:shd w:val="clear" w:color="auto" w:fill="auto"/>
            <w:hideMark/>
          </w:tcPr>
          <w:p w14:paraId="1DB976E0" w14:textId="77777777" w:rsidR="0085395C" w:rsidRPr="0085395C" w:rsidRDefault="0085395C" w:rsidP="00505809">
            <w:pPr>
              <w:spacing w:after="0" w:line="240" w:lineRule="auto"/>
              <w:textAlignment w:val="baseline"/>
              <w:rPr>
                <w:rFonts w:ascii="Source Sans Pro" w:eastAsia="Times New Roman" w:hAnsi="Source Sans Pro" w:cs="Calibri"/>
                <w:lang w:val="en-GB"/>
              </w:rPr>
            </w:pPr>
          </w:p>
        </w:tc>
      </w:tr>
      <w:tr w:rsidR="0085395C" w:rsidRPr="0085395C" w14:paraId="5C536740" w14:textId="77777777" w:rsidTr="0085395C">
        <w:trPr>
          <w:trHeight w:val="885"/>
        </w:trPr>
        <w:tc>
          <w:tcPr>
            <w:tcW w:w="450" w:type="dxa"/>
            <w:shd w:val="clear" w:color="auto" w:fill="FFFFFF"/>
            <w:vAlign w:val="center"/>
            <w:hideMark/>
          </w:tcPr>
          <w:p w14:paraId="284B314A" w14:textId="77777777" w:rsidR="0085395C" w:rsidRPr="0085395C" w:rsidRDefault="0085395C" w:rsidP="00505809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Segoe UI"/>
                <w:b/>
                <w:bCs/>
                <w:sz w:val="18"/>
                <w:szCs w:val="18"/>
                <w:lang w:val="en-GB"/>
              </w:rPr>
            </w:pPr>
            <w:r w:rsidRPr="0085395C">
              <w:rPr>
                <w:rFonts w:ascii="Source Sans Pro" w:eastAsia="Times New Roman" w:hAnsi="Source Sans Pro" w:cs="Calibri"/>
                <w:b/>
                <w:bCs/>
                <w:lang w:val="en-GB"/>
              </w:rPr>
              <w:t>5</w:t>
            </w:r>
          </w:p>
        </w:tc>
        <w:tc>
          <w:tcPr>
            <w:tcW w:w="4950" w:type="dxa"/>
            <w:shd w:val="clear" w:color="auto" w:fill="auto"/>
            <w:hideMark/>
          </w:tcPr>
          <w:p w14:paraId="67AEBE52" w14:textId="77777777" w:rsidR="0085395C" w:rsidRPr="0085395C" w:rsidRDefault="0085395C" w:rsidP="0085395C">
            <w:pPr>
              <w:spacing w:after="0" w:line="240" w:lineRule="auto"/>
              <w:ind w:left="32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GB"/>
              </w:rPr>
            </w:pPr>
            <w:r w:rsidRPr="0085395C">
              <w:rPr>
                <w:rFonts w:ascii="Source Sans Pro" w:eastAsia="Times New Roman" w:hAnsi="Source Sans Pro" w:cs="Calibri"/>
                <w:lang w:val="en-GB"/>
              </w:rPr>
              <w:t>To promote and support national capacity for high-quality research and development for the prevention and control of noncommunicable diseases.  </w:t>
            </w:r>
          </w:p>
        </w:tc>
        <w:tc>
          <w:tcPr>
            <w:tcW w:w="4950" w:type="dxa"/>
            <w:shd w:val="clear" w:color="auto" w:fill="auto"/>
            <w:hideMark/>
          </w:tcPr>
          <w:p w14:paraId="35C832D8" w14:textId="77777777" w:rsidR="0085395C" w:rsidRPr="0085395C" w:rsidRDefault="0085395C" w:rsidP="0050580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GB"/>
              </w:rPr>
            </w:pPr>
            <w:r w:rsidRPr="0085395C">
              <w:rPr>
                <w:rFonts w:ascii="Source Sans Pro" w:eastAsia="Times New Roman" w:hAnsi="Source Sans Pro" w:cs="Calibri"/>
                <w:lang w:val="en-GB"/>
              </w:rPr>
              <w:t> </w:t>
            </w:r>
          </w:p>
        </w:tc>
      </w:tr>
      <w:tr w:rsidR="0085395C" w:rsidRPr="0085395C" w14:paraId="1BCCE08D" w14:textId="77777777" w:rsidTr="0085395C">
        <w:trPr>
          <w:trHeight w:val="615"/>
        </w:trPr>
        <w:tc>
          <w:tcPr>
            <w:tcW w:w="450" w:type="dxa"/>
            <w:shd w:val="clear" w:color="auto" w:fill="FFFFFF"/>
            <w:vAlign w:val="center"/>
            <w:hideMark/>
          </w:tcPr>
          <w:p w14:paraId="06ACF9D7" w14:textId="77777777" w:rsidR="0085395C" w:rsidRPr="0085395C" w:rsidRDefault="0085395C" w:rsidP="00505809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Segoe UI"/>
                <w:b/>
                <w:bCs/>
                <w:sz w:val="18"/>
                <w:szCs w:val="18"/>
                <w:lang w:val="en-GB"/>
              </w:rPr>
            </w:pPr>
            <w:r w:rsidRPr="0085395C">
              <w:rPr>
                <w:rFonts w:ascii="Source Sans Pro" w:eastAsia="Times New Roman" w:hAnsi="Source Sans Pro" w:cs="Calibri"/>
                <w:b/>
                <w:bCs/>
                <w:lang w:val="en-GB"/>
              </w:rPr>
              <w:t>6</w:t>
            </w:r>
          </w:p>
        </w:tc>
        <w:tc>
          <w:tcPr>
            <w:tcW w:w="4950" w:type="dxa"/>
            <w:shd w:val="clear" w:color="auto" w:fill="auto"/>
            <w:hideMark/>
          </w:tcPr>
          <w:p w14:paraId="34F95CB0" w14:textId="77777777" w:rsidR="0085395C" w:rsidRPr="0085395C" w:rsidRDefault="0085395C" w:rsidP="0085395C">
            <w:pPr>
              <w:spacing w:after="0" w:line="240" w:lineRule="auto"/>
              <w:ind w:left="32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GB"/>
              </w:rPr>
            </w:pPr>
            <w:r w:rsidRPr="0085395C">
              <w:rPr>
                <w:rFonts w:ascii="Source Sans Pro" w:eastAsia="Times New Roman" w:hAnsi="Source Sans Pro" w:cs="Calibri"/>
                <w:lang w:val="en-GB"/>
              </w:rPr>
              <w:t>To monitor the trends and determinants of noncommunicable diseases and evaluate progress in their prevention and control. </w:t>
            </w:r>
          </w:p>
        </w:tc>
        <w:tc>
          <w:tcPr>
            <w:tcW w:w="4950" w:type="dxa"/>
            <w:shd w:val="clear" w:color="auto" w:fill="auto"/>
            <w:hideMark/>
          </w:tcPr>
          <w:p w14:paraId="5D658C86" w14:textId="77777777" w:rsidR="0085395C" w:rsidRPr="0085395C" w:rsidRDefault="0085395C" w:rsidP="00505809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GB"/>
              </w:rPr>
            </w:pPr>
            <w:r w:rsidRPr="0085395C">
              <w:rPr>
                <w:rFonts w:ascii="Source Sans Pro" w:eastAsia="Times New Roman" w:hAnsi="Source Sans Pro" w:cs="Calibri"/>
                <w:lang w:val="en-GB"/>
              </w:rPr>
              <w:t> </w:t>
            </w:r>
          </w:p>
        </w:tc>
      </w:tr>
      <w:tr w:rsidR="0085395C" w:rsidRPr="0085395C" w14:paraId="5FD87EC3" w14:textId="77777777" w:rsidTr="0085395C">
        <w:trPr>
          <w:trHeight w:val="543"/>
        </w:trPr>
        <w:tc>
          <w:tcPr>
            <w:tcW w:w="450" w:type="dxa"/>
            <w:shd w:val="clear" w:color="auto" w:fill="FFFFFF"/>
            <w:vAlign w:val="center"/>
          </w:tcPr>
          <w:p w14:paraId="1DCF3BF8" w14:textId="77777777" w:rsidR="0085395C" w:rsidRPr="0085395C" w:rsidRDefault="0085395C" w:rsidP="00505809">
            <w:pPr>
              <w:spacing w:after="0" w:line="240" w:lineRule="auto"/>
              <w:jc w:val="center"/>
              <w:textAlignment w:val="baseline"/>
              <w:rPr>
                <w:rFonts w:ascii="Source Sans Pro" w:eastAsia="Times New Roman" w:hAnsi="Source Sans Pro" w:cs="Calibri"/>
                <w:b/>
                <w:bCs/>
                <w:lang w:val="en-GB"/>
              </w:rPr>
            </w:pPr>
            <w:r w:rsidRPr="0085395C">
              <w:rPr>
                <w:rFonts w:ascii="Source Sans Pro" w:eastAsia="Times New Roman" w:hAnsi="Source Sans Pro" w:cs="Calibri"/>
                <w:b/>
                <w:bCs/>
                <w:lang w:val="en-GB"/>
              </w:rPr>
              <w:t>*</w:t>
            </w:r>
          </w:p>
        </w:tc>
        <w:tc>
          <w:tcPr>
            <w:tcW w:w="4950" w:type="dxa"/>
            <w:shd w:val="clear" w:color="auto" w:fill="auto"/>
          </w:tcPr>
          <w:p w14:paraId="323C5C28" w14:textId="6D6BBBEA" w:rsidR="0085395C" w:rsidRPr="0085395C" w:rsidRDefault="00372F08" w:rsidP="0085395C">
            <w:pPr>
              <w:spacing w:after="0" w:line="240" w:lineRule="auto"/>
              <w:ind w:left="32"/>
              <w:textAlignment w:val="baseline"/>
              <w:rPr>
                <w:rFonts w:ascii="Source Sans Pro" w:eastAsia="Times New Roman" w:hAnsi="Source Sans Pro" w:cs="Calibri"/>
                <w:lang w:val="en-GB"/>
              </w:rPr>
            </w:pPr>
            <w:r>
              <w:rPr>
                <w:rFonts w:ascii="Source Sans Pro" w:eastAsia="Times New Roman" w:hAnsi="Source Sans Pro" w:cs="Calibri"/>
                <w:i/>
                <w:iCs/>
                <w:lang w:val="en-GB"/>
              </w:rPr>
              <w:t>In a</w:t>
            </w:r>
            <w:r w:rsidR="0085395C" w:rsidRPr="0085395C">
              <w:rPr>
                <w:rFonts w:ascii="Source Sans Pro" w:eastAsia="Times New Roman" w:hAnsi="Source Sans Pro" w:cs="Calibri"/>
                <w:i/>
                <w:iCs/>
                <w:lang w:val="en-GB"/>
              </w:rPr>
              <w:t>ddition</w:t>
            </w:r>
            <w:r w:rsidR="0085395C" w:rsidRPr="0085395C">
              <w:rPr>
                <w:rFonts w:ascii="Source Sans Pro" w:eastAsia="Times New Roman" w:hAnsi="Source Sans Pro" w:cs="Calibri"/>
                <w:lang w:val="en-GB"/>
              </w:rPr>
              <w:t xml:space="preserve">: To promote </w:t>
            </w:r>
            <w:r w:rsidR="00A55916">
              <w:rPr>
                <w:rFonts w:ascii="Source Sans Pro" w:eastAsia="Times New Roman" w:hAnsi="Source Sans Pro" w:cs="Calibri"/>
                <w:lang w:val="en-GB"/>
              </w:rPr>
              <w:t xml:space="preserve">and protect </w:t>
            </w:r>
            <w:r w:rsidR="0085395C" w:rsidRPr="0085395C">
              <w:rPr>
                <w:rFonts w:ascii="Source Sans Pro" w:eastAsia="Times New Roman" w:hAnsi="Source Sans Pro" w:cs="Calibri"/>
                <w:lang w:val="en-GB"/>
              </w:rPr>
              <w:t>mental health and well-being</w:t>
            </w:r>
            <w:r w:rsidR="00E56A2C">
              <w:rPr>
                <w:rFonts w:ascii="Source Sans Pro" w:eastAsia="Times New Roman" w:hAnsi="Source Sans Pro" w:cs="Calibri"/>
                <w:lang w:val="en-GB"/>
              </w:rPr>
              <w:t>,</w:t>
            </w:r>
            <w:r w:rsidR="00E56A2C">
              <w:rPr>
                <w:rFonts w:eastAsia="Times New Roman" w:cs="Calibri"/>
              </w:rPr>
              <w:t xml:space="preserve"> including prevention and management of mental health conditions, as a vital</w:t>
            </w:r>
            <w:r w:rsidR="0085395C" w:rsidRPr="0085395C">
              <w:rPr>
                <w:rFonts w:ascii="Source Sans Pro" w:eastAsia="Times New Roman" w:hAnsi="Source Sans Pro" w:cs="Calibri"/>
                <w:lang w:val="en-GB"/>
              </w:rPr>
              <w:t xml:space="preserve"> component of achieving SDG target 3.4.</w:t>
            </w:r>
          </w:p>
        </w:tc>
        <w:tc>
          <w:tcPr>
            <w:tcW w:w="4950" w:type="dxa"/>
            <w:shd w:val="clear" w:color="auto" w:fill="auto"/>
          </w:tcPr>
          <w:p w14:paraId="50A833CF" w14:textId="77777777" w:rsidR="0085395C" w:rsidRPr="0085395C" w:rsidRDefault="0085395C" w:rsidP="00505809">
            <w:pPr>
              <w:spacing w:after="0" w:line="240" w:lineRule="auto"/>
              <w:textAlignment w:val="baseline"/>
              <w:rPr>
                <w:rFonts w:ascii="Source Sans Pro" w:eastAsia="Times New Roman" w:hAnsi="Source Sans Pro" w:cs="Calibri"/>
                <w:lang w:val="en-GB"/>
              </w:rPr>
            </w:pPr>
          </w:p>
        </w:tc>
      </w:tr>
    </w:tbl>
    <w:p w14:paraId="4FA7763F" w14:textId="662EC2B1" w:rsidR="00B51D35" w:rsidRPr="0085395C" w:rsidRDefault="0085395C" w:rsidP="0085395C">
      <w:pPr>
        <w:shd w:val="clear" w:color="auto" w:fill="FFFFFF"/>
        <w:spacing w:after="0" w:line="240" w:lineRule="auto"/>
        <w:jc w:val="center"/>
        <w:outlineLvl w:val="0"/>
        <w:rPr>
          <w:rFonts w:ascii="Source Sans Pro" w:hAnsi="Source Sans Pro"/>
          <w:b/>
          <w:bCs/>
          <w:color w:val="C00000"/>
          <w:lang w:val="en-GB"/>
        </w:rPr>
      </w:pPr>
      <w:r w:rsidRPr="0085395C">
        <w:rPr>
          <w:rFonts w:ascii="Source Sans Pro" w:hAnsi="Source Sans Pro"/>
          <w:lang w:val="en-GB"/>
        </w:rPr>
        <w:lastRenderedPageBreak/>
        <w:br/>
      </w:r>
      <w:r w:rsidRPr="0085395C">
        <w:rPr>
          <w:rFonts w:ascii="Source Sans Pro" w:hAnsi="Source Sans Pro"/>
          <w:b/>
          <w:bCs/>
          <w:color w:val="C00000"/>
          <w:lang w:val="en-GB"/>
        </w:rPr>
        <w:t xml:space="preserve">Please send this completed form to </w:t>
      </w:r>
      <w:hyperlink r:id="rId5">
        <w:r w:rsidRPr="0085395C">
          <w:rPr>
            <w:rStyle w:val="Hyperlink"/>
            <w:rFonts w:ascii="Source Sans Pro" w:hAnsi="Source Sans Pro"/>
            <w:b/>
            <w:bCs/>
            <w:color w:val="C00000"/>
            <w:lang w:val="en-GB"/>
          </w:rPr>
          <w:t>OnTheRoadTo2025@who.int</w:t>
        </w:r>
      </w:hyperlink>
      <w:r w:rsidRPr="0085395C">
        <w:rPr>
          <w:rFonts w:ascii="Source Sans Pro" w:hAnsi="Source Sans Pro"/>
          <w:b/>
          <w:bCs/>
          <w:color w:val="C00000"/>
          <w:lang w:val="en-GB"/>
        </w:rPr>
        <w:t xml:space="preserve"> during the period </w:t>
      </w:r>
      <w:r w:rsidR="00B30239">
        <w:rPr>
          <w:rFonts w:ascii="Source Sans Pro" w:hAnsi="Source Sans Pro"/>
          <w:b/>
          <w:bCs/>
          <w:color w:val="C00000"/>
          <w:lang w:val="en-GB"/>
        </w:rPr>
        <w:t>1</w:t>
      </w:r>
      <w:r w:rsidR="000E7C18">
        <w:rPr>
          <w:rFonts w:ascii="Source Sans Pro" w:hAnsi="Source Sans Pro"/>
          <w:b/>
          <w:bCs/>
          <w:color w:val="C00000"/>
          <w:lang w:val="en-GB"/>
        </w:rPr>
        <w:t xml:space="preserve"> May</w:t>
      </w:r>
      <w:r w:rsidRPr="0085395C">
        <w:rPr>
          <w:rFonts w:ascii="Source Sans Pro" w:hAnsi="Source Sans Pro"/>
          <w:b/>
          <w:bCs/>
          <w:color w:val="C00000"/>
          <w:lang w:val="en-GB"/>
        </w:rPr>
        <w:t>–</w:t>
      </w:r>
      <w:r w:rsidR="000E7C18">
        <w:rPr>
          <w:rFonts w:ascii="Source Sans Pro" w:hAnsi="Source Sans Pro"/>
          <w:b/>
          <w:bCs/>
          <w:color w:val="C00000"/>
          <w:lang w:val="en-GB"/>
        </w:rPr>
        <w:t>17 June</w:t>
      </w:r>
      <w:r w:rsidRPr="0085395C">
        <w:rPr>
          <w:rFonts w:ascii="Source Sans Pro" w:hAnsi="Source Sans Pro"/>
          <w:b/>
          <w:bCs/>
          <w:color w:val="C00000"/>
          <w:lang w:val="en-GB"/>
        </w:rPr>
        <w:t xml:space="preserve"> 2024</w:t>
      </w:r>
      <w:r w:rsidRPr="000E7C18">
        <w:rPr>
          <w:rFonts w:ascii="Source Sans Pro" w:hAnsi="Source Sans Pro"/>
          <w:color w:val="C00000"/>
          <w:lang w:val="en-GB"/>
        </w:rPr>
        <w:t>.</w:t>
      </w:r>
    </w:p>
    <w:sectPr w:rsidR="00B51D35" w:rsidRPr="0085395C" w:rsidSect="0085395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5C"/>
    <w:rsid w:val="000E7C18"/>
    <w:rsid w:val="00183945"/>
    <w:rsid w:val="00372F08"/>
    <w:rsid w:val="003942DA"/>
    <w:rsid w:val="005D7013"/>
    <w:rsid w:val="00745AE5"/>
    <w:rsid w:val="00804EEF"/>
    <w:rsid w:val="00832C91"/>
    <w:rsid w:val="0085395C"/>
    <w:rsid w:val="008B0657"/>
    <w:rsid w:val="00A55916"/>
    <w:rsid w:val="00B30239"/>
    <w:rsid w:val="00B51D35"/>
    <w:rsid w:val="00B9343A"/>
    <w:rsid w:val="00C12CD8"/>
    <w:rsid w:val="00CD141D"/>
    <w:rsid w:val="00D01626"/>
    <w:rsid w:val="00DF5407"/>
    <w:rsid w:val="00E56A2C"/>
    <w:rsid w:val="00EB1854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B0383"/>
  <w15:chartTrackingRefBased/>
  <w15:docId w15:val="{62A67373-5554-43EC-BCAD-7775FC10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5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85395C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85395C"/>
  </w:style>
  <w:style w:type="character" w:styleId="FollowedHyperlink">
    <w:name w:val="FollowedHyperlink"/>
    <w:basedOn w:val="DefaultParagraphFont"/>
    <w:uiPriority w:val="99"/>
    <w:semiHidden/>
    <w:unhideWhenUsed/>
    <w:rsid w:val="008539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nTheRoadTo2025@who.int" TargetMode="External"/><Relationship Id="rId4" Type="http://schemas.openxmlformats.org/officeDocument/2006/relationships/hyperlink" Target="https://www.who.int/publications/i/item/97892415062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SPACKMAN, Susan</dc:creator>
  <cp:keywords/>
  <dc:description/>
  <cp:lastModifiedBy>SPACKMAN, Susan</cp:lastModifiedBy>
  <cp:revision>4</cp:revision>
  <dcterms:created xsi:type="dcterms:W3CDTF">2024-05-31T06:27:00Z</dcterms:created>
  <dcterms:modified xsi:type="dcterms:W3CDTF">2024-05-31T06:38:00Z</dcterms:modified>
</cp:coreProperties>
</file>