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FB8B41" w14:textId="421C9983" w:rsidR="005D72F7" w:rsidRPr="00E63DCC" w:rsidRDefault="00A5640C" w:rsidP="00A5640C">
      <w:pPr>
        <w:pStyle w:val="Title"/>
        <w:bidi/>
        <w:rPr>
          <w:sz w:val="48"/>
          <w:szCs w:val="48"/>
          <w:rtl/>
        </w:rPr>
      </w:pPr>
      <w:r>
        <w:rPr>
          <w:rFonts w:hint="cs"/>
          <w:sz w:val="48"/>
          <w:szCs w:val="48"/>
          <w:rtl/>
        </w:rPr>
        <w:t>الملحق 3.</w:t>
      </w:r>
      <w:r>
        <w:rPr>
          <w:sz w:val="48"/>
          <w:szCs w:val="48"/>
        </w:rPr>
        <w:t xml:space="preserve"> </w:t>
      </w:r>
      <w:r>
        <w:rPr>
          <w:rFonts w:hint="cs"/>
          <w:sz w:val="48"/>
          <w:szCs w:val="48"/>
          <w:rtl/>
        </w:rPr>
        <w:t>نموذج لبروتوكول الدراسة</w:t>
      </w:r>
    </w:p>
    <w:p w14:paraId="22980D86" w14:textId="16F5D25D" w:rsidR="00E94CF1" w:rsidRPr="00E63DCC" w:rsidRDefault="009E6FF7" w:rsidP="00A5640C">
      <w:pPr>
        <w:pStyle w:val="Title"/>
        <w:bidi/>
        <w:rPr>
          <w:sz w:val="36"/>
          <w:szCs w:val="36"/>
          <w:rtl/>
        </w:rPr>
      </w:pPr>
      <w:r>
        <w:rPr>
          <w:rFonts w:hint="cs"/>
          <w:sz w:val="36"/>
          <w:szCs w:val="36"/>
          <w:rtl/>
        </w:rPr>
        <w:t>تقييم تحديات الصحة العامة في مجتمعات تعدين الذهب الحرفي والضيق النطاق ومدى استعداد النظام الصحي المحلي للاستجابة</w:t>
      </w:r>
    </w:p>
    <w:p w14:paraId="3623EB5D" w14:textId="1B092435" w:rsidR="00E94CF1" w:rsidRPr="00E63DCC" w:rsidRDefault="00E94CF1" w:rsidP="00A5640C">
      <w:pPr>
        <w:rPr>
          <w:lang w:val="en-GB" w:eastAsia="ja-JP"/>
        </w:rPr>
      </w:pPr>
    </w:p>
    <w:p w14:paraId="7F6AD964" w14:textId="4B9B68F2" w:rsidR="00E94CF1" w:rsidRPr="00E63DCC" w:rsidRDefault="00230B6D" w:rsidP="00230B6D">
      <w:pPr>
        <w:pStyle w:val="Normalboldhead"/>
        <w:bidi/>
        <w:rPr>
          <w:rtl/>
        </w:rPr>
      </w:pPr>
      <w:r>
        <w:rPr>
          <w:rFonts w:hint="cs"/>
          <w:rtl/>
        </w:rPr>
        <w:t>ملاحظة حول النموذج</w:t>
      </w:r>
    </w:p>
    <w:p w14:paraId="4122E037" w14:textId="48D5F2B7" w:rsidR="00E94CF1" w:rsidRPr="00E63DCC" w:rsidRDefault="009F0C05" w:rsidP="00164442">
      <w:pPr>
        <w:bidi/>
        <w:rPr>
          <w:rtl/>
        </w:rPr>
      </w:pPr>
      <w:r>
        <w:rPr>
          <w:rFonts w:hint="cs"/>
          <w:rtl/>
        </w:rPr>
        <w:t>يعد وضع خطط العمل الوطنية (</w:t>
      </w:r>
      <w:r>
        <w:t>NAPs</w:t>
      </w:r>
      <w:r>
        <w:rPr>
          <w:rFonts w:hint="cs"/>
          <w:rtl/>
        </w:rPr>
        <w:t>) لتعدين الذهب الحرفي والضيق النطاق (</w:t>
      </w:r>
      <w:r>
        <w:t>ASGM</w:t>
      </w:r>
      <w:r>
        <w:rPr>
          <w:rFonts w:hint="cs"/>
          <w:rtl/>
        </w:rPr>
        <w:t xml:space="preserve">) التزامًا بموجب المادة 7 من اتفاقية </w:t>
      </w:r>
      <w:proofErr w:type="spellStart"/>
      <w:r>
        <w:rPr>
          <w:rFonts w:hint="cs"/>
          <w:rtl/>
        </w:rPr>
        <w:t>ميناماتا</w:t>
      </w:r>
      <w:proofErr w:type="spellEnd"/>
      <w:r>
        <w:rPr>
          <w:rFonts w:hint="cs"/>
          <w:rtl/>
        </w:rPr>
        <w:t xml:space="preserve"> بشأن الزئبق لكل طرف يقر بوجود التعدين على نطاق غير محدود في أراضيه.</w:t>
      </w:r>
      <w:r>
        <w:t xml:space="preserve"> </w:t>
      </w:r>
      <w:r>
        <w:rPr>
          <w:rFonts w:hint="cs"/>
          <w:rtl/>
        </w:rPr>
        <w:t>يجب أن تتضمن خطة العمل الوطنية هذه استراتيجية للصحة العمومية بشأن تعرض عمال التعدين الحرفي والضيق النطاق ومجتمعاتهم المحلية للمخاطر.</w:t>
      </w:r>
      <w:r>
        <w:t xml:space="preserve"> </w:t>
      </w:r>
      <w:r>
        <w:rPr>
          <w:rFonts w:hint="cs"/>
          <w:rtl/>
        </w:rPr>
        <w:t>من أجل دعم البلدان التي تضع استراتيجيات للصحة العامة، وضعت منظمة الصحة العالمية (</w:t>
      </w:r>
      <w:r>
        <w:t>WHO</w:t>
      </w:r>
      <w:r>
        <w:rPr>
          <w:rFonts w:hint="cs"/>
          <w:rtl/>
        </w:rPr>
        <w:t>) دليلاً تفصيليا لتسهيل إجراء التقييم الصحي السريع وتقييم القدرات المؤسسية.</w:t>
      </w:r>
      <w:r>
        <w:t xml:space="preserve"> </w:t>
      </w:r>
      <w:r>
        <w:rPr>
          <w:rFonts w:hint="cs"/>
          <w:rtl/>
        </w:rPr>
        <w:t>تمت تجربة هذين النوعين من التقييمات في غانا وموزمبيق ونيجيريا (2017-2019) وتوجيه عملية وضع استراتيجية وطنية ملائمة للصحة العامة.</w:t>
      </w:r>
      <w:r>
        <w:t xml:space="preserve"> </w:t>
      </w:r>
      <w:r>
        <w:rPr>
          <w:rFonts w:hint="cs"/>
          <w:rtl/>
        </w:rPr>
        <w:t>يعد نموذج بروتوكول الدراسة هذا ملحقًا بإصدار منظمة الصحة العالمية بعنوان</w:t>
      </w:r>
      <w:r w:rsidR="00164442" w:rsidRPr="00164442">
        <w:rPr>
          <w:rFonts w:eastAsiaTheme="minorHAnsi" w:cs="Arial"/>
          <w:rtl/>
          <w:lang w:eastAsia="en-US" w:bidi="ar-SA"/>
        </w:rPr>
        <w:t xml:space="preserve"> </w:t>
      </w:r>
      <w:r w:rsidR="00164442" w:rsidRPr="00164442">
        <w:rPr>
          <w:i/>
          <w:iCs/>
          <w:rtl/>
          <w:lang w:bidi="ar-SA"/>
        </w:rPr>
        <w:t>دليل تفصيل</w:t>
      </w:r>
      <w:r w:rsidR="00164442" w:rsidRPr="00164442">
        <w:rPr>
          <w:rFonts w:hint="cs"/>
          <w:i/>
          <w:iCs/>
          <w:rtl/>
          <w:lang w:bidi="ar-SA"/>
        </w:rPr>
        <w:t>ي</w:t>
      </w:r>
      <w:r w:rsidR="00164442" w:rsidRPr="00164442">
        <w:rPr>
          <w:i/>
          <w:iCs/>
          <w:rtl/>
          <w:lang w:bidi="ar-SA"/>
        </w:rPr>
        <w:t xml:space="preserve"> لوضع است</w:t>
      </w:r>
      <w:r w:rsidR="00164442" w:rsidRPr="00164442">
        <w:rPr>
          <w:rFonts w:hint="cs"/>
          <w:i/>
          <w:iCs/>
          <w:rtl/>
          <w:lang w:bidi="ar-SA"/>
        </w:rPr>
        <w:t>ر</w:t>
      </w:r>
      <w:r w:rsidR="00164442" w:rsidRPr="00164442">
        <w:rPr>
          <w:i/>
          <w:iCs/>
          <w:rtl/>
          <w:lang w:bidi="ar-SA"/>
        </w:rPr>
        <w:t>اتيجية للصحة</w:t>
      </w:r>
      <w:r w:rsidR="00164442" w:rsidRPr="00164442">
        <w:rPr>
          <w:rFonts w:hint="cs"/>
          <w:i/>
          <w:iCs/>
          <w:rtl/>
          <w:lang w:bidi="ar-SA"/>
        </w:rPr>
        <w:t xml:space="preserve"> </w:t>
      </w:r>
      <w:r w:rsidR="00164442" w:rsidRPr="00164442">
        <w:rPr>
          <w:i/>
          <w:iCs/>
          <w:rtl/>
          <w:lang w:bidi="ar-SA"/>
        </w:rPr>
        <w:t>العامة بشأن تعدين الذهب الحرفي والضيق</w:t>
      </w:r>
      <w:r w:rsidR="00164442" w:rsidRPr="00164442">
        <w:rPr>
          <w:rFonts w:hint="cs"/>
          <w:i/>
          <w:iCs/>
          <w:rtl/>
          <w:lang w:bidi="ar-SA"/>
        </w:rPr>
        <w:t xml:space="preserve"> </w:t>
      </w:r>
      <w:r w:rsidR="00164442" w:rsidRPr="00164442">
        <w:rPr>
          <w:i/>
          <w:iCs/>
          <w:rtl/>
          <w:lang w:bidi="ar-SA"/>
        </w:rPr>
        <w:t>النطاق في</w:t>
      </w:r>
      <w:r w:rsidR="00164442" w:rsidRPr="00164442">
        <w:rPr>
          <w:rFonts w:hint="cs"/>
          <w:i/>
          <w:iCs/>
          <w:rtl/>
          <w:lang w:bidi="ar-SA"/>
        </w:rPr>
        <w:t xml:space="preserve"> </w:t>
      </w:r>
      <w:r w:rsidR="00164442" w:rsidRPr="00164442">
        <w:rPr>
          <w:i/>
          <w:iCs/>
          <w:rtl/>
          <w:lang w:bidi="ar-SA"/>
        </w:rPr>
        <w:t xml:space="preserve">سياق اتفاقية </w:t>
      </w:r>
      <w:proofErr w:type="spellStart"/>
      <w:r w:rsidR="00164442" w:rsidRPr="00164442">
        <w:rPr>
          <w:i/>
          <w:iCs/>
          <w:rtl/>
          <w:lang w:bidi="ar-SA"/>
        </w:rPr>
        <w:t>ميناماتا</w:t>
      </w:r>
      <w:proofErr w:type="spellEnd"/>
      <w:r w:rsidR="00164442" w:rsidRPr="00164442">
        <w:rPr>
          <w:i/>
          <w:iCs/>
          <w:rtl/>
          <w:lang w:bidi="ar-SA"/>
        </w:rPr>
        <w:t xml:space="preserve"> بشأن الزئبق</w:t>
      </w:r>
      <w:r>
        <w:rPr>
          <w:rFonts w:hint="cs"/>
          <w:rtl/>
        </w:rPr>
        <w:t> ومن ثم فهو قائم على بروتوكولات الدراسة البحثية التي تم وضعها للدراسات التجريبية.</w:t>
      </w:r>
    </w:p>
    <w:p w14:paraId="48BEBB6D" w14:textId="571B8C3C" w:rsidR="00E94CF1" w:rsidRPr="00E63DCC" w:rsidRDefault="00E94CF1" w:rsidP="00A5640C">
      <w:pPr>
        <w:bidi/>
        <w:rPr>
          <w:rtl/>
        </w:rPr>
      </w:pPr>
      <w:r>
        <w:rPr>
          <w:rFonts w:hint="cs"/>
          <w:rtl/>
        </w:rPr>
        <w:t>يمكن استخدام نموذج بروتوكول الدراسة الحالي لتسهيل التخطيط التفصيلي للتقييمات وللحصول على تصريح أخلاقي.</w:t>
      </w:r>
      <w:r>
        <w:t xml:space="preserve"> </w:t>
      </w:r>
      <w:r>
        <w:rPr>
          <w:rFonts w:hint="cs"/>
          <w:rtl/>
        </w:rPr>
        <w:t>المهم أنه يجب استكمال النموذج بمعلومات خاصة بالبلد أو السياق (انظر التعليمات الواردة في [الأقواس المربعة]) ومن المحتمل إعادة هيكلته أو تطويره بشكل أكبر من أجل التوافق مع متطلبات لجنة الأخلاقيات المعنية.</w:t>
      </w:r>
      <w:r>
        <w:t xml:space="preserve"> </w:t>
      </w:r>
    </w:p>
    <w:p w14:paraId="3E618AC3" w14:textId="3F15368D" w:rsidR="00E94CF1" w:rsidRPr="00E63DCC" w:rsidRDefault="00E94CF1" w:rsidP="00A5640C">
      <w:pPr>
        <w:rPr>
          <w:lang w:val="en-GB" w:eastAsia="ja-JP"/>
        </w:rPr>
      </w:pPr>
    </w:p>
    <w:p w14:paraId="2BDAA5A7" w14:textId="7E11B6C1" w:rsidR="00E94CF1" w:rsidRPr="00E63DCC" w:rsidRDefault="00E94CF1" w:rsidP="00A5640C">
      <w:pPr>
        <w:rPr>
          <w:lang w:val="en-GB" w:eastAsia="ja-JP"/>
        </w:rPr>
      </w:pPr>
    </w:p>
    <w:p w14:paraId="089D0812" w14:textId="0B4B5B0E" w:rsidR="00E94CF1" w:rsidRPr="00E63DCC" w:rsidRDefault="00E94CF1" w:rsidP="00A5640C">
      <w:pPr>
        <w:rPr>
          <w:lang w:val="en-GB" w:eastAsia="ja-JP"/>
        </w:rPr>
      </w:pPr>
    </w:p>
    <w:p w14:paraId="3ADE981B" w14:textId="77777777" w:rsidR="003242CF" w:rsidRPr="00E63DCC" w:rsidRDefault="003242CF">
      <w:pPr>
        <w:bidi/>
        <w:spacing w:after="0" w:line="240" w:lineRule="auto"/>
        <w:rPr>
          <w:rFonts w:eastAsia="MS Gothic" w:cstheme="minorBidi"/>
          <w:b/>
          <w:spacing w:val="5"/>
          <w:kern w:val="28"/>
          <w:sz w:val="32"/>
          <w:szCs w:val="220"/>
          <w:rtl/>
        </w:rPr>
      </w:pPr>
      <w:r>
        <w:rPr>
          <w:rFonts w:hint="cs"/>
          <w:rtl/>
        </w:rPr>
        <w:br w:type="page"/>
      </w:r>
    </w:p>
    <w:p w14:paraId="361A25E3" w14:textId="2C06D281" w:rsidR="009721BA" w:rsidRPr="00482197" w:rsidRDefault="008330B0" w:rsidP="00321D50">
      <w:pPr>
        <w:pStyle w:val="Headgeneral14"/>
        <w:bidi/>
        <w:rPr>
          <w:b w:val="0"/>
          <w:bCs/>
          <w:rtl/>
        </w:rPr>
      </w:pPr>
      <w:r w:rsidRPr="00482197">
        <w:rPr>
          <w:rFonts w:hint="cs"/>
          <w:b w:val="0"/>
          <w:bCs/>
          <w:rtl/>
        </w:rPr>
        <w:lastRenderedPageBreak/>
        <w:t>بروتوكول الدراسة البحثية</w:t>
      </w:r>
    </w:p>
    <w:p w14:paraId="541BE74C" w14:textId="00C47499" w:rsidR="009721BA" w:rsidRPr="00482197" w:rsidRDefault="009721BA" w:rsidP="00321D50">
      <w:pPr>
        <w:pStyle w:val="Normalboldhead"/>
        <w:bidi/>
        <w:rPr>
          <w:b w:val="0"/>
          <w:bCs/>
          <w:rtl/>
        </w:rPr>
      </w:pPr>
      <w:r w:rsidRPr="00482197">
        <w:rPr>
          <w:rFonts w:hint="cs"/>
          <w:b w:val="0"/>
          <w:bCs/>
          <w:rtl/>
        </w:rPr>
        <w:t>عنوان الدراسة البحثية</w:t>
      </w:r>
    </w:p>
    <w:p w14:paraId="4D853F87" w14:textId="5ECB1AD3" w:rsidR="00423646" w:rsidRPr="00E63DCC" w:rsidRDefault="008D0619" w:rsidP="00321D50">
      <w:pPr>
        <w:bidi/>
        <w:rPr>
          <w:rFonts w:eastAsia="Times New Roman"/>
          <w:b/>
          <w:rtl/>
        </w:rPr>
      </w:pPr>
      <w:bookmarkStart w:id="0" w:name="_Hlk45541934"/>
      <w:r>
        <w:rPr>
          <w:rFonts w:hint="cs"/>
          <w:rtl/>
        </w:rPr>
        <w:t>تقييم تحديات الصحة العامة في مجتمعات تعدين الذهب الحرفي والضيق النطاق ومدى استعداد النظام الصحي المحلي للاستجابة في [</w:t>
      </w:r>
      <w:bookmarkEnd w:id="0"/>
      <w:r>
        <w:rPr>
          <w:rFonts w:hint="cs"/>
          <w:rtl/>
        </w:rPr>
        <w:t>اسم البلد]</w:t>
      </w:r>
      <w:r>
        <w:t xml:space="preserve"> </w:t>
      </w:r>
    </w:p>
    <w:p w14:paraId="1BC29C7E" w14:textId="77777777" w:rsidR="009721BA" w:rsidRPr="00E63DCC" w:rsidRDefault="009721BA" w:rsidP="00321D50">
      <w:pPr>
        <w:rPr>
          <w:lang w:val="en-GB"/>
        </w:rPr>
      </w:pPr>
    </w:p>
    <w:tbl>
      <w:tblPr>
        <w:bidiVisual/>
        <w:tblW w:w="0" w:type="auto"/>
        <w:tblLook w:val="0000" w:firstRow="0" w:lastRow="0" w:firstColumn="0" w:lastColumn="0" w:noHBand="0" w:noVBand="0"/>
      </w:tblPr>
      <w:tblGrid>
        <w:gridCol w:w="3204"/>
        <w:gridCol w:w="5822"/>
      </w:tblGrid>
      <w:tr w:rsidR="009721BA" w:rsidRPr="00E63DCC" w14:paraId="2B679B0D" w14:textId="77777777" w:rsidTr="000256A1">
        <w:trPr>
          <w:trHeight w:val="20"/>
        </w:trPr>
        <w:tc>
          <w:tcPr>
            <w:tcW w:w="3283" w:type="dxa"/>
          </w:tcPr>
          <w:p w14:paraId="13FA5C4D" w14:textId="5DF984D1" w:rsidR="009721BA" w:rsidRPr="00E63DCC" w:rsidRDefault="009721BA" w:rsidP="00321D50">
            <w:pPr>
              <w:bidi/>
              <w:rPr>
                <w:rtl/>
              </w:rPr>
            </w:pPr>
            <w:r>
              <w:rPr>
                <w:rFonts w:hint="cs"/>
                <w:rtl/>
              </w:rPr>
              <w:t>نوع الدراسة البحثية</w:t>
            </w:r>
          </w:p>
        </w:tc>
        <w:tc>
          <w:tcPr>
            <w:tcW w:w="5997" w:type="dxa"/>
          </w:tcPr>
          <w:p w14:paraId="37895AA7" w14:textId="07640C4E" w:rsidR="00700DC5" w:rsidRPr="00E63DCC" w:rsidRDefault="00F60D68" w:rsidP="00321D50">
            <w:pPr>
              <w:bidi/>
              <w:rPr>
                <w:rtl/>
              </w:rPr>
            </w:pPr>
            <w:r>
              <w:rPr>
                <w:rFonts w:hint="cs"/>
                <w:rtl/>
              </w:rPr>
              <w:t>دراسة بحثية يتم فيها جمع البيانات الشخصية المتعلقة بالصحة ولا يتم أخذ عينات من أي مادة بيولوجية من البشر</w:t>
            </w:r>
          </w:p>
        </w:tc>
      </w:tr>
      <w:tr w:rsidR="009721BA" w:rsidRPr="00E63DCC" w14:paraId="70B520E5" w14:textId="77777777" w:rsidTr="000256A1">
        <w:trPr>
          <w:trHeight w:val="20"/>
        </w:trPr>
        <w:tc>
          <w:tcPr>
            <w:tcW w:w="3283" w:type="dxa"/>
          </w:tcPr>
          <w:p w14:paraId="40B40828" w14:textId="30CFD87A" w:rsidR="009721BA" w:rsidRPr="00E63DCC" w:rsidRDefault="00B15E0C" w:rsidP="00321D50">
            <w:pPr>
              <w:bidi/>
              <w:rPr>
                <w:rtl/>
              </w:rPr>
            </w:pPr>
            <w:r>
              <w:rPr>
                <w:rFonts w:hint="cs"/>
                <w:rtl/>
              </w:rPr>
              <w:t>الباحث الرئيسي</w:t>
            </w:r>
          </w:p>
        </w:tc>
        <w:tc>
          <w:tcPr>
            <w:tcW w:w="5997" w:type="dxa"/>
          </w:tcPr>
          <w:p w14:paraId="6ACA5F41" w14:textId="7F7646D3" w:rsidR="000256A1" w:rsidRPr="00E63DCC" w:rsidRDefault="00700DC5" w:rsidP="00321D50">
            <w:pPr>
              <w:bidi/>
              <w:rPr>
                <w:rtl/>
              </w:rPr>
            </w:pPr>
            <w:r>
              <w:rPr>
                <w:rFonts w:hint="cs"/>
                <w:rtl/>
              </w:rPr>
              <w:t>[اذكر الاسم، والمهنة، والمعهد أو المنظمة وتفاصيل الاتصال (عنوان البريد الإلكتروني ورقم الهاتف) لجميع الباحثين والمنسقين]</w:t>
            </w:r>
          </w:p>
        </w:tc>
      </w:tr>
      <w:tr w:rsidR="000256A1" w:rsidRPr="00E63DCC" w14:paraId="6DD8ADCF" w14:textId="77777777" w:rsidTr="000256A1">
        <w:trPr>
          <w:trHeight w:val="20"/>
        </w:trPr>
        <w:tc>
          <w:tcPr>
            <w:tcW w:w="3283" w:type="dxa"/>
          </w:tcPr>
          <w:p w14:paraId="6FBBDAC3" w14:textId="778811A6" w:rsidR="000256A1" w:rsidRPr="00E63DCC" w:rsidRDefault="000256A1" w:rsidP="00321D50">
            <w:pPr>
              <w:bidi/>
              <w:rPr>
                <w:rtl/>
              </w:rPr>
            </w:pPr>
            <w:r>
              <w:rPr>
                <w:rFonts w:hint="cs"/>
                <w:rtl/>
              </w:rPr>
              <w:t>باحث مشارك</w:t>
            </w:r>
          </w:p>
        </w:tc>
        <w:tc>
          <w:tcPr>
            <w:tcW w:w="5997" w:type="dxa"/>
          </w:tcPr>
          <w:p w14:paraId="15F1871A" w14:textId="77777777" w:rsidR="00B01923" w:rsidRPr="00E63DCC" w:rsidRDefault="00B01923" w:rsidP="00321D50">
            <w:pPr>
              <w:rPr>
                <w:rFonts w:ascii="Helvetica" w:hAnsi="Helvetica"/>
                <w:sz w:val="22"/>
                <w:lang w:val="en-GB"/>
              </w:rPr>
            </w:pPr>
          </w:p>
        </w:tc>
      </w:tr>
      <w:tr w:rsidR="00B15E0C" w:rsidRPr="00E63DCC" w14:paraId="3E2D236E" w14:textId="77777777" w:rsidTr="000256A1">
        <w:trPr>
          <w:trHeight w:val="20"/>
        </w:trPr>
        <w:tc>
          <w:tcPr>
            <w:tcW w:w="3283" w:type="dxa"/>
          </w:tcPr>
          <w:p w14:paraId="4B5516E3" w14:textId="3A19F707" w:rsidR="00B15E0C" w:rsidRPr="00E63DCC" w:rsidRDefault="00B15E0C" w:rsidP="00321D50">
            <w:pPr>
              <w:bidi/>
              <w:rPr>
                <w:rtl/>
              </w:rPr>
            </w:pPr>
            <w:r>
              <w:rPr>
                <w:rFonts w:hint="cs"/>
                <w:rtl/>
              </w:rPr>
              <w:t>منسق (منسقو) المشروع</w:t>
            </w:r>
            <w:r>
              <w:t xml:space="preserve"> </w:t>
            </w:r>
          </w:p>
        </w:tc>
        <w:tc>
          <w:tcPr>
            <w:tcW w:w="5997" w:type="dxa"/>
          </w:tcPr>
          <w:p w14:paraId="28BB8D6C" w14:textId="77777777" w:rsidR="000256A1" w:rsidRPr="00E63DCC" w:rsidRDefault="000256A1" w:rsidP="00321D50">
            <w:pPr>
              <w:rPr>
                <w:lang w:val="en-GB"/>
              </w:rPr>
            </w:pPr>
          </w:p>
        </w:tc>
      </w:tr>
      <w:tr w:rsidR="009721BA" w:rsidRPr="00E63DCC" w14:paraId="15C4CF4B" w14:textId="77777777" w:rsidTr="000256A1">
        <w:trPr>
          <w:trHeight w:val="20"/>
        </w:trPr>
        <w:tc>
          <w:tcPr>
            <w:tcW w:w="3283" w:type="dxa"/>
          </w:tcPr>
          <w:p w14:paraId="64B4F977" w14:textId="1126ACC6" w:rsidR="009721BA" w:rsidRPr="00E63DCC" w:rsidRDefault="00A46D5F" w:rsidP="00321D50">
            <w:pPr>
              <w:bidi/>
              <w:rPr>
                <w:rtl/>
              </w:rPr>
            </w:pPr>
            <w:r>
              <w:rPr>
                <w:rFonts w:hint="cs"/>
                <w:rtl/>
              </w:rPr>
              <w:t>مدة الدراسة</w:t>
            </w:r>
          </w:p>
        </w:tc>
        <w:tc>
          <w:tcPr>
            <w:tcW w:w="5997" w:type="dxa"/>
          </w:tcPr>
          <w:p w14:paraId="7D6B3B09" w14:textId="77777777" w:rsidR="00867B51" w:rsidRPr="00E63DCC" w:rsidRDefault="00867B51" w:rsidP="00321D50">
            <w:pPr>
              <w:rPr>
                <w:lang w:val="en-GB"/>
              </w:rPr>
            </w:pPr>
          </w:p>
        </w:tc>
      </w:tr>
      <w:tr w:rsidR="009721BA" w:rsidRPr="00E63DCC" w14:paraId="700C0432" w14:textId="77777777" w:rsidTr="000256A1">
        <w:trPr>
          <w:trHeight w:val="20"/>
        </w:trPr>
        <w:tc>
          <w:tcPr>
            <w:tcW w:w="3283" w:type="dxa"/>
          </w:tcPr>
          <w:p w14:paraId="3A513003" w14:textId="13BEEA9E" w:rsidR="009721BA" w:rsidRPr="00E63DCC" w:rsidRDefault="00486F5E" w:rsidP="00321D50">
            <w:pPr>
              <w:bidi/>
              <w:rPr>
                <w:rtl/>
              </w:rPr>
            </w:pPr>
            <w:r>
              <w:rPr>
                <w:rFonts w:hint="cs"/>
                <w:rtl/>
              </w:rPr>
              <w:t>إصدار البروتوكول وتاريخه</w:t>
            </w:r>
          </w:p>
        </w:tc>
        <w:tc>
          <w:tcPr>
            <w:tcW w:w="5997" w:type="dxa"/>
          </w:tcPr>
          <w:p w14:paraId="57ABACAB" w14:textId="2799814B" w:rsidR="009721BA" w:rsidRPr="00E63DCC" w:rsidRDefault="009721BA" w:rsidP="00321D50">
            <w:pPr>
              <w:rPr>
                <w:lang w:val="en-GB"/>
              </w:rPr>
            </w:pPr>
          </w:p>
        </w:tc>
      </w:tr>
    </w:tbl>
    <w:p w14:paraId="7ED88026" w14:textId="09EF6686" w:rsidR="00DB4097" w:rsidRPr="00E63DCC" w:rsidRDefault="00DB4097" w:rsidP="00321D50">
      <w:pPr>
        <w:rPr>
          <w:lang w:val="en-GB"/>
        </w:rPr>
      </w:pPr>
    </w:p>
    <w:p w14:paraId="4C9BE03F" w14:textId="77777777" w:rsidR="005D72F7" w:rsidRPr="00E63DCC" w:rsidRDefault="005D72F7" w:rsidP="00A5640C">
      <w:pPr>
        <w:bidi/>
        <w:rPr>
          <w:rtl/>
        </w:rPr>
      </w:pPr>
      <w:r>
        <w:rPr>
          <w:rFonts w:hint="cs"/>
          <w:rtl/>
        </w:rPr>
        <w:br w:type="page"/>
      </w:r>
    </w:p>
    <w:p w14:paraId="12F6BFEF" w14:textId="77777777" w:rsidR="005D72F7" w:rsidRPr="00482197" w:rsidRDefault="005D72F7" w:rsidP="00321D50">
      <w:pPr>
        <w:pStyle w:val="Headgeneral14"/>
        <w:bidi/>
        <w:rPr>
          <w:b w:val="0"/>
          <w:bCs/>
          <w:rtl/>
        </w:rPr>
      </w:pPr>
      <w:r w:rsidRPr="00482197">
        <w:rPr>
          <w:rFonts w:hint="cs"/>
          <w:b w:val="0"/>
          <w:bCs/>
          <w:rtl/>
        </w:rPr>
        <w:lastRenderedPageBreak/>
        <w:t>صفحة التوقيع</w:t>
      </w:r>
    </w:p>
    <w:tbl>
      <w:tblPr>
        <w:bidiVisual/>
        <w:tblW w:w="0" w:type="auto"/>
        <w:tblLook w:val="0000" w:firstRow="0" w:lastRow="0" w:firstColumn="0" w:lastColumn="0" w:noHBand="0" w:noVBand="0"/>
      </w:tblPr>
      <w:tblGrid>
        <w:gridCol w:w="1705"/>
        <w:gridCol w:w="7321"/>
      </w:tblGrid>
      <w:tr w:rsidR="005D72F7" w:rsidRPr="00E63DCC" w14:paraId="52749BF9" w14:textId="77777777" w:rsidTr="00AC4D6F">
        <w:tc>
          <w:tcPr>
            <w:tcW w:w="1725" w:type="dxa"/>
          </w:tcPr>
          <w:p w14:paraId="4028F9F9" w14:textId="77777777" w:rsidR="005D72F7" w:rsidRPr="00482197" w:rsidRDefault="00486F5E" w:rsidP="00321D50">
            <w:pPr>
              <w:pStyle w:val="Normalboldhead"/>
              <w:bidi/>
              <w:rPr>
                <w:b w:val="0"/>
                <w:bCs/>
                <w:rtl/>
              </w:rPr>
            </w:pPr>
            <w:r w:rsidRPr="00482197">
              <w:rPr>
                <w:rFonts w:hint="cs"/>
                <w:b w:val="0"/>
                <w:bCs/>
                <w:rtl/>
              </w:rPr>
              <w:t>عنوان الدراسة</w:t>
            </w:r>
          </w:p>
        </w:tc>
        <w:tc>
          <w:tcPr>
            <w:tcW w:w="7455" w:type="dxa"/>
          </w:tcPr>
          <w:p w14:paraId="7F0A8A9D" w14:textId="52C2CD18" w:rsidR="00486F5E" w:rsidRPr="00E63DCC" w:rsidRDefault="008D0619" w:rsidP="00321D50">
            <w:pPr>
              <w:bidi/>
              <w:rPr>
                <w:rtl/>
              </w:rPr>
            </w:pPr>
            <w:r>
              <w:rPr>
                <w:rFonts w:hint="cs"/>
                <w:rtl/>
              </w:rPr>
              <w:t>تقييم تحديات الصحة العامة في مجتمعات تعدين الذهب الحرفي والضيق النطاق ومدى استعداد النظام الصحي المحلي للاستجابة في [اسم البلد]</w:t>
            </w:r>
          </w:p>
        </w:tc>
      </w:tr>
    </w:tbl>
    <w:p w14:paraId="5E9091DF" w14:textId="0C0489DF" w:rsidR="005D72F7" w:rsidRPr="00E63DCC" w:rsidRDefault="00867B51" w:rsidP="00321D50">
      <w:pPr>
        <w:bidi/>
        <w:rPr>
          <w:rtl/>
        </w:rPr>
      </w:pPr>
      <w:r>
        <w:rPr>
          <w:rFonts w:hint="cs"/>
          <w:rtl/>
        </w:rPr>
        <w:t>تؤكد الأطراف الموقعة هنا على إجراء جميع الأنشطة البحثية كما هو موضح في بروتوكول الدراسة (الإصدار [</w:t>
      </w:r>
      <w:r>
        <w:t>X]</w:t>
      </w:r>
      <w:r>
        <w:rPr>
          <w:rFonts w:hint="cs"/>
          <w:rtl/>
        </w:rPr>
        <w:t>، [التاريخ]) واتباع الإرشادات الأخلاقية الدولية للبحوث المتعلقة بالصحة التي تشمل البشر والتي طرحها مجلس منظمات العلوم الطبية الدولية ومنظمة الصحة العالمية إلى جانب إعلان هلسنكي والمتطلبات المحلية السارية قانونًا في [اسم البلد].</w:t>
      </w:r>
    </w:p>
    <w:p w14:paraId="04BC91B0" w14:textId="77777777" w:rsidR="00867B51" w:rsidRPr="00E63DCC" w:rsidRDefault="00867B51" w:rsidP="00321D50">
      <w:pPr>
        <w:rPr>
          <w:lang w:val="en-GB"/>
        </w:rPr>
      </w:pPr>
    </w:p>
    <w:p w14:paraId="512DBCAB" w14:textId="2C39429C" w:rsidR="00867B51" w:rsidRPr="00E63DCC" w:rsidRDefault="00867B51" w:rsidP="00321D50">
      <w:pPr>
        <w:bidi/>
        <w:rPr>
          <w:rtl/>
        </w:rPr>
      </w:pPr>
      <w:r>
        <w:rPr>
          <w:rFonts w:hint="cs"/>
          <w:rtl/>
        </w:rPr>
        <w:t>لصالح [اسم مؤسسة الباحث الرئيسي]:</w:t>
      </w:r>
    </w:p>
    <w:tbl>
      <w:tblPr>
        <w:bidiVisual/>
        <w:tblW w:w="0" w:type="auto"/>
        <w:tblLook w:val="04A0" w:firstRow="1" w:lastRow="0" w:firstColumn="1" w:lastColumn="0" w:noHBand="0" w:noVBand="1"/>
      </w:tblPr>
      <w:tblGrid>
        <w:gridCol w:w="3167"/>
        <w:gridCol w:w="5859"/>
      </w:tblGrid>
      <w:tr w:rsidR="00867B51" w:rsidRPr="00E63DCC" w14:paraId="39A0CE7A" w14:textId="77777777" w:rsidTr="00953E80">
        <w:tc>
          <w:tcPr>
            <w:tcW w:w="3227" w:type="dxa"/>
          </w:tcPr>
          <w:p w14:paraId="14DB2389" w14:textId="77777777" w:rsidR="00867B51" w:rsidRPr="00E63DCC" w:rsidRDefault="00867B51" w:rsidP="00321D50">
            <w:pPr>
              <w:rPr>
                <w:lang w:val="en-GB"/>
              </w:rPr>
            </w:pPr>
          </w:p>
          <w:p w14:paraId="35EEFAF0" w14:textId="105C8980" w:rsidR="00867B51" w:rsidRPr="00E63DCC" w:rsidRDefault="00700DC5" w:rsidP="00321D50">
            <w:pPr>
              <w:bidi/>
              <w:rPr>
                <w:rtl/>
              </w:rPr>
            </w:pPr>
            <w:r>
              <w:rPr>
                <w:rFonts w:hint="cs"/>
                <w:rtl/>
              </w:rPr>
              <w:t>[المكان، التاريخ]</w:t>
            </w:r>
          </w:p>
        </w:tc>
        <w:tc>
          <w:tcPr>
            <w:tcW w:w="5985" w:type="dxa"/>
          </w:tcPr>
          <w:p w14:paraId="0182E8F0" w14:textId="77777777" w:rsidR="00700DC5" w:rsidRPr="00E63DCC" w:rsidRDefault="00700DC5" w:rsidP="00321D50">
            <w:pPr>
              <w:rPr>
                <w:lang w:val="en-GB"/>
              </w:rPr>
            </w:pPr>
          </w:p>
          <w:p w14:paraId="1C2103F0" w14:textId="54BCCD25" w:rsidR="00700DC5" w:rsidRPr="00E63DCC" w:rsidRDefault="00700DC5" w:rsidP="00321D50">
            <w:pPr>
              <w:bidi/>
              <w:rPr>
                <w:bCs/>
                <w:rtl/>
              </w:rPr>
            </w:pPr>
            <w:r>
              <w:rPr>
                <w:rFonts w:hint="cs"/>
                <w:rtl/>
              </w:rPr>
              <w:t>[اسم الباحث الرئيسي]</w:t>
            </w:r>
          </w:p>
        </w:tc>
      </w:tr>
    </w:tbl>
    <w:p w14:paraId="691DF250" w14:textId="77777777" w:rsidR="00867B51" w:rsidRPr="00E63DCC" w:rsidRDefault="00867B51" w:rsidP="00321D50">
      <w:pPr>
        <w:rPr>
          <w:lang w:val="en-GB"/>
        </w:rPr>
      </w:pPr>
    </w:p>
    <w:p w14:paraId="25A3A08D" w14:textId="77777777" w:rsidR="00321D50" w:rsidRPr="00E63DCC" w:rsidRDefault="00321D50" w:rsidP="00321D50">
      <w:pPr>
        <w:rPr>
          <w:lang w:val="en-GB"/>
        </w:rPr>
      </w:pPr>
    </w:p>
    <w:p w14:paraId="422DAC96" w14:textId="1027CA38" w:rsidR="00867B51" w:rsidRPr="00E63DCC" w:rsidRDefault="00867B51" w:rsidP="00321D50">
      <w:pPr>
        <w:bidi/>
        <w:rPr>
          <w:rtl/>
        </w:rPr>
      </w:pPr>
      <w:r>
        <w:rPr>
          <w:rFonts w:hint="cs"/>
          <w:rtl/>
        </w:rPr>
        <w:t>لصالح [اسم مؤسسة الباحث المشارك]:</w:t>
      </w:r>
    </w:p>
    <w:tbl>
      <w:tblPr>
        <w:bidiVisual/>
        <w:tblW w:w="0" w:type="auto"/>
        <w:tblLook w:val="04A0" w:firstRow="1" w:lastRow="0" w:firstColumn="1" w:lastColumn="0" w:noHBand="0" w:noVBand="1"/>
      </w:tblPr>
      <w:tblGrid>
        <w:gridCol w:w="3167"/>
        <w:gridCol w:w="5859"/>
      </w:tblGrid>
      <w:tr w:rsidR="00867B51" w:rsidRPr="00E63DCC" w14:paraId="2A39AB84" w14:textId="77777777" w:rsidTr="00953E80">
        <w:tc>
          <w:tcPr>
            <w:tcW w:w="3227" w:type="dxa"/>
          </w:tcPr>
          <w:p w14:paraId="6D42C863" w14:textId="77777777" w:rsidR="00867B51" w:rsidRPr="00E63DCC" w:rsidRDefault="00867B51" w:rsidP="00321D50">
            <w:pPr>
              <w:rPr>
                <w:lang w:val="en-GB"/>
              </w:rPr>
            </w:pPr>
          </w:p>
          <w:p w14:paraId="7FB37FC3" w14:textId="545753E4" w:rsidR="00867B51" w:rsidRPr="00E63DCC" w:rsidRDefault="00700DC5" w:rsidP="00321D50">
            <w:pPr>
              <w:bidi/>
              <w:rPr>
                <w:rtl/>
              </w:rPr>
            </w:pPr>
            <w:r>
              <w:rPr>
                <w:rFonts w:hint="cs"/>
                <w:rtl/>
              </w:rPr>
              <w:t>[المكان، التاريخ]</w:t>
            </w:r>
          </w:p>
        </w:tc>
        <w:tc>
          <w:tcPr>
            <w:tcW w:w="5985" w:type="dxa"/>
          </w:tcPr>
          <w:p w14:paraId="243969FB" w14:textId="77777777" w:rsidR="00867B51" w:rsidRPr="00E63DCC" w:rsidRDefault="00867B51" w:rsidP="00321D50">
            <w:pPr>
              <w:rPr>
                <w:szCs w:val="24"/>
                <w:lang w:val="en-GB" w:eastAsia="de-CH"/>
              </w:rPr>
            </w:pPr>
          </w:p>
          <w:p w14:paraId="0FFE4F6C" w14:textId="0A09C574" w:rsidR="00867B51" w:rsidRPr="00E63DCC" w:rsidRDefault="00700DC5" w:rsidP="00321D50">
            <w:pPr>
              <w:bidi/>
              <w:rPr>
                <w:szCs w:val="24"/>
                <w:rtl/>
              </w:rPr>
            </w:pPr>
            <w:r>
              <w:rPr>
                <w:rFonts w:hint="cs"/>
                <w:rtl/>
              </w:rPr>
              <w:t>[اسم الباحث المشارك]</w:t>
            </w:r>
          </w:p>
        </w:tc>
      </w:tr>
    </w:tbl>
    <w:p w14:paraId="0175B329" w14:textId="77777777" w:rsidR="00867B51" w:rsidRPr="00E63DCC" w:rsidRDefault="00867B51" w:rsidP="00321D50">
      <w:pPr>
        <w:rPr>
          <w:szCs w:val="20"/>
          <w:lang w:val="en-GB" w:eastAsia="en-US"/>
        </w:rPr>
      </w:pPr>
    </w:p>
    <w:p w14:paraId="53048329" w14:textId="77777777" w:rsidR="00867B51" w:rsidRPr="00E63DCC" w:rsidRDefault="00867B51" w:rsidP="00321D50">
      <w:pPr>
        <w:rPr>
          <w:szCs w:val="20"/>
          <w:lang w:val="en-GB" w:eastAsia="en-US"/>
        </w:rPr>
      </w:pPr>
    </w:p>
    <w:p w14:paraId="6F289E29" w14:textId="5A6B2A44" w:rsidR="00867B51" w:rsidRPr="00E63DCC" w:rsidRDefault="00867B51" w:rsidP="00321D50">
      <w:pPr>
        <w:bidi/>
        <w:rPr>
          <w:rtl/>
        </w:rPr>
      </w:pPr>
      <w:r>
        <w:rPr>
          <w:rFonts w:hint="cs"/>
          <w:rtl/>
        </w:rPr>
        <w:t>لصالح [اسم مؤسسة منسقي المشروع]:</w:t>
      </w:r>
    </w:p>
    <w:tbl>
      <w:tblPr>
        <w:bidiVisual/>
        <w:tblW w:w="0" w:type="auto"/>
        <w:tblLook w:val="04A0" w:firstRow="1" w:lastRow="0" w:firstColumn="1" w:lastColumn="0" w:noHBand="0" w:noVBand="1"/>
      </w:tblPr>
      <w:tblGrid>
        <w:gridCol w:w="3166"/>
        <w:gridCol w:w="5860"/>
      </w:tblGrid>
      <w:tr w:rsidR="0010675A" w:rsidRPr="00E63DCC" w14:paraId="564A2DEE" w14:textId="77777777" w:rsidTr="00953E80">
        <w:tc>
          <w:tcPr>
            <w:tcW w:w="3227" w:type="dxa"/>
          </w:tcPr>
          <w:p w14:paraId="04488063" w14:textId="77777777" w:rsidR="0010675A" w:rsidRPr="00E63DCC" w:rsidRDefault="0010675A" w:rsidP="00321D50">
            <w:pPr>
              <w:rPr>
                <w:lang w:val="en-GB"/>
              </w:rPr>
            </w:pPr>
          </w:p>
          <w:p w14:paraId="6C31A1E5" w14:textId="1152F4EE" w:rsidR="00A46D5F" w:rsidRPr="00E63DCC" w:rsidRDefault="00700DC5" w:rsidP="00321D50">
            <w:pPr>
              <w:bidi/>
              <w:rPr>
                <w:rtl/>
              </w:rPr>
            </w:pPr>
            <w:r>
              <w:rPr>
                <w:rFonts w:hint="cs"/>
                <w:rtl/>
              </w:rPr>
              <w:t>[المكان، التاريخ]</w:t>
            </w:r>
          </w:p>
          <w:p w14:paraId="471CB465" w14:textId="77777777" w:rsidR="0010675A" w:rsidRPr="00E63DCC" w:rsidRDefault="0010675A" w:rsidP="00321D50">
            <w:pPr>
              <w:rPr>
                <w:lang w:val="en-GB"/>
              </w:rPr>
            </w:pPr>
          </w:p>
        </w:tc>
        <w:tc>
          <w:tcPr>
            <w:tcW w:w="5985" w:type="dxa"/>
          </w:tcPr>
          <w:p w14:paraId="3341573E" w14:textId="77777777" w:rsidR="0010675A" w:rsidRPr="00E63DCC" w:rsidRDefault="0010675A" w:rsidP="00321D50">
            <w:pPr>
              <w:rPr>
                <w:lang w:val="en-GB"/>
              </w:rPr>
            </w:pPr>
          </w:p>
          <w:p w14:paraId="25A563D9" w14:textId="7F470D53" w:rsidR="0010675A" w:rsidRPr="00E63DCC" w:rsidRDefault="00700DC5" w:rsidP="00321D50">
            <w:pPr>
              <w:bidi/>
              <w:rPr>
                <w:rtl/>
              </w:rPr>
            </w:pPr>
            <w:r>
              <w:rPr>
                <w:rFonts w:hint="cs"/>
                <w:rtl/>
              </w:rPr>
              <w:t>[اسم المنسق (المنسقين)]</w:t>
            </w:r>
          </w:p>
          <w:p w14:paraId="72202577" w14:textId="77777777" w:rsidR="0010675A" w:rsidRPr="00E63DCC" w:rsidRDefault="0010675A" w:rsidP="00321D50">
            <w:pPr>
              <w:rPr>
                <w:lang w:val="en-GB"/>
              </w:rPr>
            </w:pPr>
          </w:p>
        </w:tc>
      </w:tr>
      <w:tr w:rsidR="0010675A" w:rsidRPr="00E63DCC" w14:paraId="17A9E19E" w14:textId="77777777" w:rsidTr="00953E80">
        <w:tc>
          <w:tcPr>
            <w:tcW w:w="3227" w:type="dxa"/>
          </w:tcPr>
          <w:p w14:paraId="76D0EC48" w14:textId="77777777" w:rsidR="0010675A" w:rsidRPr="00E63DCC" w:rsidRDefault="0010675A" w:rsidP="00A5640C">
            <w:pPr>
              <w:spacing w:after="0"/>
              <w:rPr>
                <w:rFonts w:ascii="Arial" w:hAnsi="Arial"/>
                <w:lang w:val="en-GB"/>
              </w:rPr>
            </w:pPr>
          </w:p>
        </w:tc>
        <w:tc>
          <w:tcPr>
            <w:tcW w:w="5985" w:type="dxa"/>
          </w:tcPr>
          <w:p w14:paraId="48058AC7" w14:textId="77777777" w:rsidR="0010675A" w:rsidRPr="00E63DCC" w:rsidRDefault="0010675A" w:rsidP="00A5640C">
            <w:pPr>
              <w:spacing w:after="0"/>
              <w:rPr>
                <w:rFonts w:ascii="Arial" w:hAnsi="Arial"/>
                <w:b/>
                <w:lang w:val="en-GB"/>
              </w:rPr>
            </w:pPr>
          </w:p>
        </w:tc>
      </w:tr>
    </w:tbl>
    <w:p w14:paraId="6B411E65" w14:textId="77777777" w:rsidR="00867B51" w:rsidRPr="00E63DCC" w:rsidRDefault="00867B51" w:rsidP="00A5640C">
      <w:pPr>
        <w:spacing w:after="0"/>
        <w:rPr>
          <w:rFonts w:ascii="Arial" w:hAnsi="Arial" w:cs="Arial"/>
          <w:sz w:val="26"/>
          <w:szCs w:val="24"/>
          <w:lang w:val="en-GB" w:eastAsia="en-US"/>
        </w:rPr>
      </w:pPr>
    </w:p>
    <w:p w14:paraId="3C380B24" w14:textId="77777777" w:rsidR="003E284D" w:rsidRPr="00E63DCC" w:rsidRDefault="008D7297" w:rsidP="00A5640C">
      <w:pPr>
        <w:bidi/>
        <w:rPr>
          <w:sz w:val="36"/>
          <w:szCs w:val="36"/>
          <w:rtl/>
        </w:rPr>
      </w:pPr>
      <w:r>
        <w:rPr>
          <w:rFonts w:hint="cs"/>
          <w:rtl/>
        </w:rPr>
        <w:br w:type="page"/>
      </w:r>
    </w:p>
    <w:p w14:paraId="4D10470F" w14:textId="4F7C6E03" w:rsidR="00DF7128" w:rsidRPr="00482197" w:rsidRDefault="00321D50" w:rsidP="00291AF5">
      <w:pPr>
        <w:pStyle w:val="Normalboldhead"/>
        <w:bidi/>
        <w:rPr>
          <w:b w:val="0"/>
          <w:bCs/>
          <w:rtl/>
        </w:rPr>
      </w:pPr>
      <w:bookmarkStart w:id="1" w:name="_Toc292344085"/>
      <w:r w:rsidRPr="00482197">
        <w:rPr>
          <w:rFonts w:hint="cs"/>
          <w:b w:val="0"/>
          <w:bCs/>
          <w:rtl/>
        </w:rPr>
        <w:lastRenderedPageBreak/>
        <w:t>المحتويا</w:t>
      </w:r>
      <w:bookmarkEnd w:id="1"/>
      <w:r w:rsidRPr="00482197">
        <w:rPr>
          <w:rFonts w:hint="cs"/>
          <w:b w:val="0"/>
          <w:bCs/>
          <w:rtl/>
        </w:rPr>
        <w:t>ت</w:t>
      </w:r>
    </w:p>
    <w:p w14:paraId="313C1629" w14:textId="37E13A99" w:rsidR="004638C3" w:rsidRDefault="004638C3">
      <w:pPr>
        <w:pStyle w:val="TOC1"/>
        <w:rPr>
          <w:rFonts w:asciiTheme="minorHAnsi" w:eastAsiaTheme="minorEastAsia" w:hAnsiTheme="minorHAnsi" w:cstheme="minorBidi"/>
          <w:b w:val="0"/>
          <w:sz w:val="22"/>
          <w:szCs w:val="22"/>
          <w:lang w:val="de-CH" w:eastAsia="de-CH" w:bidi="ar-SA"/>
        </w:rPr>
      </w:pPr>
      <w:r>
        <w:rPr>
          <w:rtl/>
        </w:rPr>
        <w:fldChar w:fldCharType="begin"/>
      </w:r>
      <w:r>
        <w:rPr>
          <w:rtl/>
        </w:rPr>
        <w:instrText xml:space="preserve"> TOC \o "1-3" \h \z \u </w:instrText>
      </w:r>
      <w:r>
        <w:rPr>
          <w:rtl/>
        </w:rPr>
        <w:fldChar w:fldCharType="separate"/>
      </w:r>
      <w:hyperlink w:anchor="_Toc71095486" w:history="1">
        <w:r w:rsidRPr="00B2282F">
          <w:rPr>
            <w:rStyle w:val="Hyperlink"/>
            <w:rtl/>
          </w:rPr>
          <w:t>الاختصارات</w:t>
        </w:r>
        <w:r>
          <w:rPr>
            <w:webHidden/>
          </w:rPr>
          <w:tab/>
        </w:r>
        <w:r>
          <w:rPr>
            <w:webHidden/>
          </w:rPr>
          <w:fldChar w:fldCharType="begin"/>
        </w:r>
        <w:r>
          <w:rPr>
            <w:webHidden/>
          </w:rPr>
          <w:instrText xml:space="preserve"> PAGEREF _Toc71095486 \h </w:instrText>
        </w:r>
        <w:r>
          <w:rPr>
            <w:webHidden/>
          </w:rPr>
        </w:r>
        <w:r>
          <w:rPr>
            <w:webHidden/>
          </w:rPr>
          <w:fldChar w:fldCharType="separate"/>
        </w:r>
        <w:r>
          <w:rPr>
            <w:webHidden/>
          </w:rPr>
          <w:t>6</w:t>
        </w:r>
        <w:r>
          <w:rPr>
            <w:webHidden/>
          </w:rPr>
          <w:fldChar w:fldCharType="end"/>
        </w:r>
      </w:hyperlink>
    </w:p>
    <w:p w14:paraId="692AFADC" w14:textId="673AC0C3" w:rsidR="004638C3" w:rsidRDefault="004C05EC">
      <w:pPr>
        <w:pStyle w:val="TOC1"/>
        <w:rPr>
          <w:rFonts w:asciiTheme="minorHAnsi" w:eastAsiaTheme="minorEastAsia" w:hAnsiTheme="minorHAnsi" w:cstheme="minorBidi"/>
          <w:b w:val="0"/>
          <w:sz w:val="22"/>
          <w:szCs w:val="22"/>
          <w:lang w:val="de-CH" w:eastAsia="de-CH" w:bidi="ar-SA"/>
        </w:rPr>
      </w:pPr>
      <w:hyperlink w:anchor="_Toc71095487" w:history="1">
        <w:r w:rsidR="004638C3" w:rsidRPr="00B2282F">
          <w:rPr>
            <w:rStyle w:val="Hyperlink"/>
            <w:rtl/>
          </w:rPr>
          <w:t>فريق الدراسة والهيكل الإداري</w:t>
        </w:r>
        <w:r w:rsidR="004638C3">
          <w:rPr>
            <w:webHidden/>
          </w:rPr>
          <w:tab/>
        </w:r>
        <w:r w:rsidR="004638C3">
          <w:rPr>
            <w:webHidden/>
          </w:rPr>
          <w:fldChar w:fldCharType="begin"/>
        </w:r>
        <w:r w:rsidR="004638C3">
          <w:rPr>
            <w:webHidden/>
          </w:rPr>
          <w:instrText xml:space="preserve"> PAGEREF _Toc71095487 \h </w:instrText>
        </w:r>
        <w:r w:rsidR="004638C3">
          <w:rPr>
            <w:webHidden/>
          </w:rPr>
        </w:r>
        <w:r w:rsidR="004638C3">
          <w:rPr>
            <w:webHidden/>
          </w:rPr>
          <w:fldChar w:fldCharType="separate"/>
        </w:r>
        <w:r w:rsidR="004638C3">
          <w:rPr>
            <w:webHidden/>
          </w:rPr>
          <w:t>7</w:t>
        </w:r>
        <w:r w:rsidR="004638C3">
          <w:rPr>
            <w:webHidden/>
          </w:rPr>
          <w:fldChar w:fldCharType="end"/>
        </w:r>
      </w:hyperlink>
    </w:p>
    <w:p w14:paraId="30E6AD34" w14:textId="1FD0C426" w:rsidR="004638C3" w:rsidRDefault="004C05EC">
      <w:pPr>
        <w:pStyle w:val="TOC1"/>
        <w:rPr>
          <w:rFonts w:asciiTheme="minorHAnsi" w:eastAsiaTheme="minorEastAsia" w:hAnsiTheme="minorHAnsi" w:cstheme="minorBidi"/>
          <w:b w:val="0"/>
          <w:sz w:val="22"/>
          <w:szCs w:val="22"/>
          <w:lang w:val="de-CH" w:eastAsia="de-CH" w:bidi="ar-SA"/>
        </w:rPr>
      </w:pPr>
      <w:hyperlink w:anchor="_Toc71095488" w:history="1">
        <w:r w:rsidR="004638C3" w:rsidRPr="00B2282F">
          <w:rPr>
            <w:rStyle w:val="Hyperlink"/>
            <w:rtl/>
          </w:rPr>
          <w:t>1.</w:t>
        </w:r>
        <w:r w:rsidR="004638C3">
          <w:rPr>
            <w:rFonts w:asciiTheme="minorHAnsi" w:eastAsiaTheme="minorEastAsia" w:hAnsiTheme="minorHAnsi" w:cstheme="minorBidi"/>
            <w:b w:val="0"/>
            <w:sz w:val="22"/>
            <w:szCs w:val="22"/>
            <w:lang w:val="de-CH" w:eastAsia="de-CH" w:bidi="ar-SA"/>
          </w:rPr>
          <w:tab/>
        </w:r>
        <w:r w:rsidR="004638C3" w:rsidRPr="00B2282F">
          <w:rPr>
            <w:rStyle w:val="Hyperlink"/>
            <w:rtl/>
          </w:rPr>
          <w:t>مقدمة</w:t>
        </w:r>
        <w:r w:rsidR="004638C3">
          <w:rPr>
            <w:webHidden/>
          </w:rPr>
          <w:tab/>
        </w:r>
        <w:r w:rsidR="004638C3">
          <w:rPr>
            <w:webHidden/>
          </w:rPr>
          <w:fldChar w:fldCharType="begin"/>
        </w:r>
        <w:r w:rsidR="004638C3">
          <w:rPr>
            <w:webHidden/>
          </w:rPr>
          <w:instrText xml:space="preserve"> PAGEREF _Toc71095488 \h </w:instrText>
        </w:r>
        <w:r w:rsidR="004638C3">
          <w:rPr>
            <w:webHidden/>
          </w:rPr>
        </w:r>
        <w:r w:rsidR="004638C3">
          <w:rPr>
            <w:webHidden/>
          </w:rPr>
          <w:fldChar w:fldCharType="separate"/>
        </w:r>
        <w:r w:rsidR="004638C3">
          <w:rPr>
            <w:webHidden/>
          </w:rPr>
          <w:t>8</w:t>
        </w:r>
        <w:r w:rsidR="004638C3">
          <w:rPr>
            <w:webHidden/>
          </w:rPr>
          <w:fldChar w:fldCharType="end"/>
        </w:r>
      </w:hyperlink>
    </w:p>
    <w:p w14:paraId="1C8F7138" w14:textId="6FAC63FB" w:rsidR="004638C3" w:rsidRDefault="004C05EC">
      <w:pPr>
        <w:pStyle w:val="TOC2"/>
        <w:rPr>
          <w:rFonts w:asciiTheme="minorHAnsi" w:eastAsiaTheme="minorEastAsia" w:hAnsiTheme="minorHAnsi" w:cstheme="minorBidi"/>
          <w:sz w:val="22"/>
          <w:szCs w:val="22"/>
          <w:lang w:val="de-CH" w:eastAsia="de-CH" w:bidi="ar-SA"/>
        </w:rPr>
      </w:pPr>
      <w:hyperlink w:anchor="_Toc71095489" w:history="1">
        <w:r w:rsidR="004638C3" w:rsidRPr="00B2282F">
          <w:rPr>
            <w:rStyle w:val="Hyperlink"/>
            <w:rtl/>
          </w:rPr>
          <w:t>1.1 تعدين الذهب الحرفي والضيق النطاق والصحة</w:t>
        </w:r>
        <w:r w:rsidR="004638C3">
          <w:rPr>
            <w:webHidden/>
          </w:rPr>
          <w:tab/>
        </w:r>
        <w:r w:rsidR="004638C3">
          <w:rPr>
            <w:webHidden/>
          </w:rPr>
          <w:fldChar w:fldCharType="begin"/>
        </w:r>
        <w:r w:rsidR="004638C3">
          <w:rPr>
            <w:webHidden/>
          </w:rPr>
          <w:instrText xml:space="preserve"> PAGEREF _Toc71095489 \h </w:instrText>
        </w:r>
        <w:r w:rsidR="004638C3">
          <w:rPr>
            <w:webHidden/>
          </w:rPr>
        </w:r>
        <w:r w:rsidR="004638C3">
          <w:rPr>
            <w:webHidden/>
          </w:rPr>
          <w:fldChar w:fldCharType="separate"/>
        </w:r>
        <w:r w:rsidR="004638C3">
          <w:rPr>
            <w:webHidden/>
          </w:rPr>
          <w:t>8</w:t>
        </w:r>
        <w:r w:rsidR="004638C3">
          <w:rPr>
            <w:webHidden/>
          </w:rPr>
          <w:fldChar w:fldCharType="end"/>
        </w:r>
      </w:hyperlink>
    </w:p>
    <w:p w14:paraId="45F73634" w14:textId="101A5A2E" w:rsidR="004638C3" w:rsidRDefault="004C05EC">
      <w:pPr>
        <w:pStyle w:val="TOC2"/>
        <w:rPr>
          <w:rFonts w:asciiTheme="minorHAnsi" w:eastAsiaTheme="minorEastAsia" w:hAnsiTheme="minorHAnsi" w:cstheme="minorBidi"/>
          <w:sz w:val="22"/>
          <w:szCs w:val="22"/>
          <w:lang w:val="de-CH" w:eastAsia="de-CH" w:bidi="ar-SA"/>
        </w:rPr>
      </w:pPr>
      <w:hyperlink w:anchor="_Toc71095490" w:history="1">
        <w:r w:rsidR="004638C3" w:rsidRPr="00B2282F">
          <w:rPr>
            <w:rStyle w:val="Hyperlink"/>
            <w:rtl/>
          </w:rPr>
          <w:t>1.2 الأساس المنطقي للدراسة</w:t>
        </w:r>
        <w:r w:rsidR="004638C3">
          <w:rPr>
            <w:webHidden/>
          </w:rPr>
          <w:tab/>
        </w:r>
        <w:r w:rsidR="004638C3">
          <w:rPr>
            <w:webHidden/>
          </w:rPr>
          <w:fldChar w:fldCharType="begin"/>
        </w:r>
        <w:r w:rsidR="004638C3">
          <w:rPr>
            <w:webHidden/>
          </w:rPr>
          <w:instrText xml:space="preserve"> PAGEREF _Toc71095490 \h </w:instrText>
        </w:r>
        <w:r w:rsidR="004638C3">
          <w:rPr>
            <w:webHidden/>
          </w:rPr>
        </w:r>
        <w:r w:rsidR="004638C3">
          <w:rPr>
            <w:webHidden/>
          </w:rPr>
          <w:fldChar w:fldCharType="separate"/>
        </w:r>
        <w:r w:rsidR="004638C3">
          <w:rPr>
            <w:webHidden/>
          </w:rPr>
          <w:t>8</w:t>
        </w:r>
        <w:r w:rsidR="004638C3">
          <w:rPr>
            <w:webHidden/>
          </w:rPr>
          <w:fldChar w:fldCharType="end"/>
        </w:r>
      </w:hyperlink>
    </w:p>
    <w:p w14:paraId="37E73FF5" w14:textId="058594DA" w:rsidR="004638C3" w:rsidRDefault="004C05EC">
      <w:pPr>
        <w:pStyle w:val="TOC2"/>
        <w:rPr>
          <w:rFonts w:asciiTheme="minorHAnsi" w:eastAsiaTheme="minorEastAsia" w:hAnsiTheme="minorHAnsi" w:cstheme="minorBidi"/>
          <w:sz w:val="22"/>
          <w:szCs w:val="22"/>
          <w:lang w:val="de-CH" w:eastAsia="de-CH" w:bidi="ar-SA"/>
        </w:rPr>
      </w:pPr>
      <w:hyperlink w:anchor="_Toc71095491" w:history="1">
        <w:r w:rsidR="004638C3" w:rsidRPr="00B2282F">
          <w:rPr>
            <w:rStyle w:val="Hyperlink"/>
            <w:rtl/>
          </w:rPr>
          <w:t>1.3 الارتباطات السياسية والمشاركة السياسية</w:t>
        </w:r>
        <w:r w:rsidR="004638C3">
          <w:rPr>
            <w:webHidden/>
          </w:rPr>
          <w:tab/>
        </w:r>
        <w:r w:rsidR="004638C3">
          <w:rPr>
            <w:webHidden/>
          </w:rPr>
          <w:fldChar w:fldCharType="begin"/>
        </w:r>
        <w:r w:rsidR="004638C3">
          <w:rPr>
            <w:webHidden/>
          </w:rPr>
          <w:instrText xml:space="preserve"> PAGEREF _Toc71095491 \h </w:instrText>
        </w:r>
        <w:r w:rsidR="004638C3">
          <w:rPr>
            <w:webHidden/>
          </w:rPr>
        </w:r>
        <w:r w:rsidR="004638C3">
          <w:rPr>
            <w:webHidden/>
          </w:rPr>
          <w:fldChar w:fldCharType="separate"/>
        </w:r>
        <w:r w:rsidR="004638C3">
          <w:rPr>
            <w:webHidden/>
          </w:rPr>
          <w:t>9</w:t>
        </w:r>
        <w:r w:rsidR="004638C3">
          <w:rPr>
            <w:webHidden/>
          </w:rPr>
          <w:fldChar w:fldCharType="end"/>
        </w:r>
      </w:hyperlink>
    </w:p>
    <w:p w14:paraId="3D8D7664" w14:textId="7A3FABEF" w:rsidR="004638C3" w:rsidRDefault="004C05EC">
      <w:pPr>
        <w:pStyle w:val="TOC1"/>
        <w:tabs>
          <w:tab w:val="left" w:pos="1540"/>
        </w:tabs>
        <w:rPr>
          <w:rFonts w:asciiTheme="minorHAnsi" w:eastAsiaTheme="minorEastAsia" w:hAnsiTheme="minorHAnsi" w:cstheme="minorBidi"/>
          <w:b w:val="0"/>
          <w:sz w:val="22"/>
          <w:szCs w:val="22"/>
          <w:lang w:val="de-CH" w:eastAsia="de-CH" w:bidi="ar-SA"/>
        </w:rPr>
      </w:pPr>
      <w:hyperlink w:anchor="_Toc71095492" w:history="1">
        <w:r w:rsidR="004638C3" w:rsidRPr="00B2282F">
          <w:rPr>
            <w:rStyle w:val="Hyperlink"/>
            <w:rtl/>
          </w:rPr>
          <w:t>2.</w:t>
        </w:r>
        <w:r w:rsidR="004638C3">
          <w:rPr>
            <w:rFonts w:asciiTheme="minorHAnsi" w:eastAsiaTheme="minorEastAsia" w:hAnsiTheme="minorHAnsi" w:cstheme="minorBidi"/>
            <w:b w:val="0"/>
            <w:sz w:val="22"/>
            <w:szCs w:val="22"/>
            <w:lang w:val="de-CH" w:eastAsia="de-CH" w:bidi="ar-SA"/>
          </w:rPr>
          <w:tab/>
        </w:r>
        <w:r w:rsidR="004638C3" w:rsidRPr="00B2282F">
          <w:rPr>
            <w:rStyle w:val="Hyperlink"/>
            <w:rtl/>
          </w:rPr>
          <w:t>الغاية والأهداف</w:t>
        </w:r>
        <w:r w:rsidR="004638C3">
          <w:rPr>
            <w:webHidden/>
          </w:rPr>
          <w:tab/>
        </w:r>
        <w:r w:rsidR="004638C3">
          <w:rPr>
            <w:webHidden/>
          </w:rPr>
          <w:fldChar w:fldCharType="begin"/>
        </w:r>
        <w:r w:rsidR="004638C3">
          <w:rPr>
            <w:webHidden/>
          </w:rPr>
          <w:instrText xml:space="preserve"> PAGEREF _Toc71095492 \h </w:instrText>
        </w:r>
        <w:r w:rsidR="004638C3">
          <w:rPr>
            <w:webHidden/>
          </w:rPr>
        </w:r>
        <w:r w:rsidR="004638C3">
          <w:rPr>
            <w:webHidden/>
          </w:rPr>
          <w:fldChar w:fldCharType="separate"/>
        </w:r>
        <w:r w:rsidR="004638C3">
          <w:rPr>
            <w:webHidden/>
          </w:rPr>
          <w:t>11</w:t>
        </w:r>
        <w:r w:rsidR="004638C3">
          <w:rPr>
            <w:webHidden/>
          </w:rPr>
          <w:fldChar w:fldCharType="end"/>
        </w:r>
      </w:hyperlink>
    </w:p>
    <w:p w14:paraId="7703B2BE" w14:textId="0BC3C6B8" w:rsidR="004638C3" w:rsidRDefault="004C05EC">
      <w:pPr>
        <w:pStyle w:val="TOC1"/>
        <w:tabs>
          <w:tab w:val="left" w:pos="1100"/>
        </w:tabs>
        <w:rPr>
          <w:rFonts w:asciiTheme="minorHAnsi" w:eastAsiaTheme="minorEastAsia" w:hAnsiTheme="minorHAnsi" w:cstheme="minorBidi"/>
          <w:b w:val="0"/>
          <w:sz w:val="22"/>
          <w:szCs w:val="22"/>
          <w:lang w:val="de-CH" w:eastAsia="de-CH" w:bidi="ar-SA"/>
        </w:rPr>
      </w:pPr>
      <w:hyperlink w:anchor="_Toc71095493" w:history="1">
        <w:r w:rsidR="004638C3" w:rsidRPr="00B2282F">
          <w:rPr>
            <w:rStyle w:val="Hyperlink"/>
            <w:rtl/>
          </w:rPr>
          <w:t>3.</w:t>
        </w:r>
        <w:r w:rsidR="004638C3">
          <w:rPr>
            <w:rFonts w:asciiTheme="minorHAnsi" w:eastAsiaTheme="minorEastAsia" w:hAnsiTheme="minorHAnsi" w:cstheme="minorBidi"/>
            <w:b w:val="0"/>
            <w:sz w:val="22"/>
            <w:szCs w:val="22"/>
            <w:lang w:val="de-CH" w:eastAsia="de-CH" w:bidi="ar-SA"/>
          </w:rPr>
          <w:tab/>
        </w:r>
        <w:r w:rsidR="004638C3" w:rsidRPr="00B2282F">
          <w:rPr>
            <w:rStyle w:val="Hyperlink"/>
            <w:rtl/>
          </w:rPr>
          <w:t>المنهجية</w:t>
        </w:r>
        <w:r w:rsidR="004638C3">
          <w:rPr>
            <w:webHidden/>
          </w:rPr>
          <w:tab/>
        </w:r>
        <w:r w:rsidR="004638C3">
          <w:rPr>
            <w:webHidden/>
          </w:rPr>
          <w:fldChar w:fldCharType="begin"/>
        </w:r>
        <w:r w:rsidR="004638C3">
          <w:rPr>
            <w:webHidden/>
          </w:rPr>
          <w:instrText xml:space="preserve"> PAGEREF _Toc71095493 \h </w:instrText>
        </w:r>
        <w:r w:rsidR="004638C3">
          <w:rPr>
            <w:webHidden/>
          </w:rPr>
        </w:r>
        <w:r w:rsidR="004638C3">
          <w:rPr>
            <w:webHidden/>
          </w:rPr>
          <w:fldChar w:fldCharType="separate"/>
        </w:r>
        <w:r w:rsidR="004638C3">
          <w:rPr>
            <w:webHidden/>
          </w:rPr>
          <w:t>12</w:t>
        </w:r>
        <w:r w:rsidR="004638C3">
          <w:rPr>
            <w:webHidden/>
          </w:rPr>
          <w:fldChar w:fldCharType="end"/>
        </w:r>
      </w:hyperlink>
    </w:p>
    <w:p w14:paraId="63ED09C0" w14:textId="338DB758" w:rsidR="004638C3" w:rsidRDefault="004C05EC">
      <w:pPr>
        <w:pStyle w:val="TOC2"/>
        <w:rPr>
          <w:rFonts w:asciiTheme="minorHAnsi" w:eastAsiaTheme="minorEastAsia" w:hAnsiTheme="minorHAnsi" w:cstheme="minorBidi"/>
          <w:sz w:val="22"/>
          <w:szCs w:val="22"/>
          <w:lang w:val="de-CH" w:eastAsia="de-CH" w:bidi="ar-SA"/>
        </w:rPr>
      </w:pPr>
      <w:hyperlink w:anchor="_Toc71095494" w:history="1">
        <w:r w:rsidR="004638C3" w:rsidRPr="00B2282F">
          <w:rPr>
            <w:rStyle w:val="Hyperlink"/>
            <w:rtl/>
          </w:rPr>
          <w:t>3.1 تصميم الدراسة</w:t>
        </w:r>
        <w:r w:rsidR="004638C3">
          <w:rPr>
            <w:webHidden/>
          </w:rPr>
          <w:tab/>
        </w:r>
        <w:r w:rsidR="004638C3">
          <w:rPr>
            <w:webHidden/>
          </w:rPr>
          <w:fldChar w:fldCharType="begin"/>
        </w:r>
        <w:r w:rsidR="004638C3">
          <w:rPr>
            <w:webHidden/>
          </w:rPr>
          <w:instrText xml:space="preserve"> PAGEREF _Toc71095494 \h </w:instrText>
        </w:r>
        <w:r w:rsidR="004638C3">
          <w:rPr>
            <w:webHidden/>
          </w:rPr>
        </w:r>
        <w:r w:rsidR="004638C3">
          <w:rPr>
            <w:webHidden/>
          </w:rPr>
          <w:fldChar w:fldCharType="separate"/>
        </w:r>
        <w:r w:rsidR="004638C3">
          <w:rPr>
            <w:webHidden/>
          </w:rPr>
          <w:t>12</w:t>
        </w:r>
        <w:r w:rsidR="004638C3">
          <w:rPr>
            <w:webHidden/>
          </w:rPr>
          <w:fldChar w:fldCharType="end"/>
        </w:r>
      </w:hyperlink>
    </w:p>
    <w:p w14:paraId="179BE5CA" w14:textId="17A22C72" w:rsidR="004638C3" w:rsidRDefault="004C05EC">
      <w:pPr>
        <w:pStyle w:val="TOC2"/>
        <w:rPr>
          <w:rFonts w:asciiTheme="minorHAnsi" w:eastAsiaTheme="minorEastAsia" w:hAnsiTheme="minorHAnsi" w:cstheme="minorBidi"/>
          <w:sz w:val="22"/>
          <w:szCs w:val="22"/>
          <w:lang w:val="de-CH" w:eastAsia="de-CH" w:bidi="ar-SA"/>
        </w:rPr>
      </w:pPr>
      <w:hyperlink w:anchor="_Toc71095495" w:history="1">
        <w:r w:rsidR="004638C3" w:rsidRPr="00B2282F">
          <w:rPr>
            <w:rStyle w:val="Hyperlink"/>
            <w:rtl/>
          </w:rPr>
          <w:t>3.2 مواقع الدراسة</w:t>
        </w:r>
        <w:r w:rsidR="004638C3">
          <w:rPr>
            <w:webHidden/>
          </w:rPr>
          <w:tab/>
        </w:r>
        <w:r w:rsidR="004638C3">
          <w:rPr>
            <w:webHidden/>
          </w:rPr>
          <w:fldChar w:fldCharType="begin"/>
        </w:r>
        <w:r w:rsidR="004638C3">
          <w:rPr>
            <w:webHidden/>
          </w:rPr>
          <w:instrText xml:space="preserve"> PAGEREF _Toc71095495 \h </w:instrText>
        </w:r>
        <w:r w:rsidR="004638C3">
          <w:rPr>
            <w:webHidden/>
          </w:rPr>
        </w:r>
        <w:r w:rsidR="004638C3">
          <w:rPr>
            <w:webHidden/>
          </w:rPr>
          <w:fldChar w:fldCharType="separate"/>
        </w:r>
        <w:r w:rsidR="004638C3">
          <w:rPr>
            <w:webHidden/>
          </w:rPr>
          <w:t>12</w:t>
        </w:r>
        <w:r w:rsidR="004638C3">
          <w:rPr>
            <w:webHidden/>
          </w:rPr>
          <w:fldChar w:fldCharType="end"/>
        </w:r>
      </w:hyperlink>
    </w:p>
    <w:p w14:paraId="52CB4475" w14:textId="6B79EE38" w:rsidR="004638C3" w:rsidRDefault="004C05EC">
      <w:pPr>
        <w:pStyle w:val="TOC2"/>
        <w:rPr>
          <w:rFonts w:asciiTheme="minorHAnsi" w:eastAsiaTheme="minorEastAsia" w:hAnsiTheme="minorHAnsi" w:cstheme="minorBidi"/>
          <w:sz w:val="22"/>
          <w:szCs w:val="22"/>
          <w:lang w:val="de-CH" w:eastAsia="de-CH" w:bidi="ar-SA"/>
        </w:rPr>
      </w:pPr>
      <w:hyperlink w:anchor="_Toc71095496" w:history="1">
        <w:r w:rsidR="004638C3" w:rsidRPr="00B2282F">
          <w:rPr>
            <w:rStyle w:val="Hyperlink"/>
            <w:rtl/>
          </w:rPr>
          <w:t>3.3 الفئة السكانية في الدراسة وحجم العينة</w:t>
        </w:r>
        <w:r w:rsidR="004638C3">
          <w:rPr>
            <w:webHidden/>
          </w:rPr>
          <w:tab/>
        </w:r>
        <w:r w:rsidR="004638C3">
          <w:rPr>
            <w:webHidden/>
          </w:rPr>
          <w:fldChar w:fldCharType="begin"/>
        </w:r>
        <w:r w:rsidR="004638C3">
          <w:rPr>
            <w:webHidden/>
          </w:rPr>
          <w:instrText xml:space="preserve"> PAGEREF _Toc71095496 \h </w:instrText>
        </w:r>
        <w:r w:rsidR="004638C3">
          <w:rPr>
            <w:webHidden/>
          </w:rPr>
        </w:r>
        <w:r w:rsidR="004638C3">
          <w:rPr>
            <w:webHidden/>
          </w:rPr>
          <w:fldChar w:fldCharType="separate"/>
        </w:r>
        <w:r w:rsidR="004638C3">
          <w:rPr>
            <w:webHidden/>
          </w:rPr>
          <w:t>14</w:t>
        </w:r>
        <w:r w:rsidR="004638C3">
          <w:rPr>
            <w:webHidden/>
          </w:rPr>
          <w:fldChar w:fldCharType="end"/>
        </w:r>
      </w:hyperlink>
    </w:p>
    <w:p w14:paraId="5B0E20AF" w14:textId="6F0B7E9D" w:rsidR="004638C3" w:rsidRDefault="004C05EC">
      <w:pPr>
        <w:pStyle w:val="TOC2"/>
        <w:rPr>
          <w:rFonts w:asciiTheme="minorHAnsi" w:eastAsiaTheme="minorEastAsia" w:hAnsiTheme="minorHAnsi" w:cstheme="minorBidi"/>
          <w:sz w:val="22"/>
          <w:szCs w:val="22"/>
          <w:lang w:val="de-CH" w:eastAsia="de-CH" w:bidi="ar-SA"/>
        </w:rPr>
      </w:pPr>
      <w:hyperlink w:anchor="_Toc71095497" w:history="1">
        <w:r w:rsidR="004638C3" w:rsidRPr="00B2282F">
          <w:rPr>
            <w:rStyle w:val="Hyperlink"/>
            <w:rtl/>
          </w:rPr>
          <w:t>3.4 أنشطة تعبئة المجتمع وتوعيته</w:t>
        </w:r>
        <w:r w:rsidR="004638C3">
          <w:rPr>
            <w:webHidden/>
          </w:rPr>
          <w:tab/>
        </w:r>
        <w:r w:rsidR="004638C3">
          <w:rPr>
            <w:webHidden/>
          </w:rPr>
          <w:fldChar w:fldCharType="begin"/>
        </w:r>
        <w:r w:rsidR="004638C3">
          <w:rPr>
            <w:webHidden/>
          </w:rPr>
          <w:instrText xml:space="preserve"> PAGEREF _Toc71095497 \h </w:instrText>
        </w:r>
        <w:r w:rsidR="004638C3">
          <w:rPr>
            <w:webHidden/>
          </w:rPr>
        </w:r>
        <w:r w:rsidR="004638C3">
          <w:rPr>
            <w:webHidden/>
          </w:rPr>
          <w:fldChar w:fldCharType="separate"/>
        </w:r>
        <w:r w:rsidR="004638C3">
          <w:rPr>
            <w:webHidden/>
          </w:rPr>
          <w:t>15</w:t>
        </w:r>
        <w:r w:rsidR="004638C3">
          <w:rPr>
            <w:webHidden/>
          </w:rPr>
          <w:fldChar w:fldCharType="end"/>
        </w:r>
      </w:hyperlink>
    </w:p>
    <w:p w14:paraId="4808ADCB" w14:textId="4F2D54DF" w:rsidR="004638C3" w:rsidRDefault="004C05EC">
      <w:pPr>
        <w:pStyle w:val="TOC2"/>
        <w:rPr>
          <w:rFonts w:asciiTheme="minorHAnsi" w:eastAsiaTheme="minorEastAsia" w:hAnsiTheme="minorHAnsi" w:cstheme="minorBidi"/>
          <w:sz w:val="22"/>
          <w:szCs w:val="22"/>
          <w:lang w:val="de-CH" w:eastAsia="de-CH" w:bidi="ar-SA"/>
        </w:rPr>
      </w:pPr>
      <w:hyperlink w:anchor="_Toc71095498" w:history="1">
        <w:r w:rsidR="004638C3" w:rsidRPr="00B2282F">
          <w:rPr>
            <w:rStyle w:val="Hyperlink"/>
            <w:rtl/>
          </w:rPr>
          <w:t>3.5 جمع البيانات وأدواتها</w:t>
        </w:r>
        <w:r w:rsidR="004638C3">
          <w:rPr>
            <w:webHidden/>
          </w:rPr>
          <w:tab/>
        </w:r>
        <w:r w:rsidR="004638C3">
          <w:rPr>
            <w:webHidden/>
          </w:rPr>
          <w:fldChar w:fldCharType="begin"/>
        </w:r>
        <w:r w:rsidR="004638C3">
          <w:rPr>
            <w:webHidden/>
          </w:rPr>
          <w:instrText xml:space="preserve"> PAGEREF _Toc71095498 \h </w:instrText>
        </w:r>
        <w:r w:rsidR="004638C3">
          <w:rPr>
            <w:webHidden/>
          </w:rPr>
        </w:r>
        <w:r w:rsidR="004638C3">
          <w:rPr>
            <w:webHidden/>
          </w:rPr>
          <w:fldChar w:fldCharType="separate"/>
        </w:r>
        <w:r w:rsidR="004638C3">
          <w:rPr>
            <w:webHidden/>
          </w:rPr>
          <w:t>17</w:t>
        </w:r>
        <w:r w:rsidR="004638C3">
          <w:rPr>
            <w:webHidden/>
          </w:rPr>
          <w:fldChar w:fldCharType="end"/>
        </w:r>
      </w:hyperlink>
    </w:p>
    <w:p w14:paraId="100024E2" w14:textId="00333FFC" w:rsidR="004638C3" w:rsidRDefault="004C05EC">
      <w:pPr>
        <w:pStyle w:val="TOC3"/>
        <w:rPr>
          <w:rFonts w:asciiTheme="minorHAnsi" w:eastAsiaTheme="minorEastAsia" w:hAnsiTheme="minorHAnsi" w:cstheme="minorBidi"/>
          <w:sz w:val="22"/>
          <w:szCs w:val="22"/>
          <w:lang w:val="de-CH" w:eastAsia="de-CH" w:bidi="ar-SA"/>
        </w:rPr>
      </w:pPr>
      <w:hyperlink w:anchor="_Toc71095499" w:history="1">
        <w:r w:rsidR="004638C3" w:rsidRPr="00B2282F">
          <w:rPr>
            <w:rStyle w:val="Hyperlink"/>
            <w:rtl/>
          </w:rPr>
          <w:t>3.5.1 مراجعة الوثيقة</w:t>
        </w:r>
        <w:r w:rsidR="004638C3">
          <w:rPr>
            <w:webHidden/>
          </w:rPr>
          <w:tab/>
        </w:r>
        <w:r w:rsidR="004638C3">
          <w:rPr>
            <w:webHidden/>
          </w:rPr>
          <w:fldChar w:fldCharType="begin"/>
        </w:r>
        <w:r w:rsidR="004638C3">
          <w:rPr>
            <w:webHidden/>
          </w:rPr>
          <w:instrText xml:space="preserve"> PAGEREF _Toc71095499 \h </w:instrText>
        </w:r>
        <w:r w:rsidR="004638C3">
          <w:rPr>
            <w:webHidden/>
          </w:rPr>
        </w:r>
        <w:r w:rsidR="004638C3">
          <w:rPr>
            <w:webHidden/>
          </w:rPr>
          <w:fldChar w:fldCharType="separate"/>
        </w:r>
        <w:r w:rsidR="004638C3">
          <w:rPr>
            <w:webHidden/>
          </w:rPr>
          <w:t>17</w:t>
        </w:r>
        <w:r w:rsidR="004638C3">
          <w:rPr>
            <w:webHidden/>
          </w:rPr>
          <w:fldChar w:fldCharType="end"/>
        </w:r>
      </w:hyperlink>
    </w:p>
    <w:p w14:paraId="7093A74C" w14:textId="02271D0E" w:rsidR="004638C3" w:rsidRDefault="004C05EC">
      <w:pPr>
        <w:pStyle w:val="TOC3"/>
        <w:rPr>
          <w:rFonts w:asciiTheme="minorHAnsi" w:eastAsiaTheme="minorEastAsia" w:hAnsiTheme="minorHAnsi" w:cstheme="minorBidi"/>
          <w:sz w:val="22"/>
          <w:szCs w:val="22"/>
          <w:lang w:val="de-CH" w:eastAsia="de-CH" w:bidi="ar-SA"/>
        </w:rPr>
      </w:pPr>
      <w:hyperlink w:anchor="_Toc71095500" w:history="1">
        <w:r w:rsidR="004638C3" w:rsidRPr="00B2282F">
          <w:rPr>
            <w:rStyle w:val="Hyperlink"/>
            <w:rtl/>
          </w:rPr>
          <w:t>3.5.2 مقابلات المبلغين الرئيسيين</w:t>
        </w:r>
        <w:r w:rsidR="004638C3">
          <w:rPr>
            <w:webHidden/>
          </w:rPr>
          <w:tab/>
        </w:r>
        <w:r w:rsidR="004638C3">
          <w:rPr>
            <w:webHidden/>
          </w:rPr>
          <w:fldChar w:fldCharType="begin"/>
        </w:r>
        <w:r w:rsidR="004638C3">
          <w:rPr>
            <w:webHidden/>
          </w:rPr>
          <w:instrText xml:space="preserve"> PAGEREF _Toc71095500 \h </w:instrText>
        </w:r>
        <w:r w:rsidR="004638C3">
          <w:rPr>
            <w:webHidden/>
          </w:rPr>
        </w:r>
        <w:r w:rsidR="004638C3">
          <w:rPr>
            <w:webHidden/>
          </w:rPr>
          <w:fldChar w:fldCharType="separate"/>
        </w:r>
        <w:r w:rsidR="004638C3">
          <w:rPr>
            <w:webHidden/>
          </w:rPr>
          <w:t>17</w:t>
        </w:r>
        <w:r w:rsidR="004638C3">
          <w:rPr>
            <w:webHidden/>
          </w:rPr>
          <w:fldChar w:fldCharType="end"/>
        </w:r>
      </w:hyperlink>
    </w:p>
    <w:p w14:paraId="6B860D76" w14:textId="12251970" w:rsidR="004638C3" w:rsidRDefault="004C05EC">
      <w:pPr>
        <w:pStyle w:val="TOC3"/>
        <w:rPr>
          <w:rFonts w:asciiTheme="minorHAnsi" w:eastAsiaTheme="minorEastAsia" w:hAnsiTheme="minorHAnsi" w:cstheme="minorBidi"/>
          <w:sz w:val="22"/>
          <w:szCs w:val="22"/>
          <w:lang w:val="de-CH" w:eastAsia="de-CH" w:bidi="ar-SA"/>
        </w:rPr>
      </w:pPr>
      <w:hyperlink w:anchor="_Toc71095501" w:history="1">
        <w:r w:rsidR="004638C3" w:rsidRPr="00B2282F">
          <w:rPr>
            <w:rStyle w:val="Hyperlink"/>
            <w:rtl/>
          </w:rPr>
          <w:t>3.5.3 مناقشات مجموعات التركيز</w:t>
        </w:r>
        <w:r w:rsidR="004638C3">
          <w:rPr>
            <w:webHidden/>
          </w:rPr>
          <w:tab/>
        </w:r>
        <w:r w:rsidR="004638C3">
          <w:rPr>
            <w:webHidden/>
          </w:rPr>
          <w:fldChar w:fldCharType="begin"/>
        </w:r>
        <w:r w:rsidR="004638C3">
          <w:rPr>
            <w:webHidden/>
          </w:rPr>
          <w:instrText xml:space="preserve"> PAGEREF _Toc71095501 \h </w:instrText>
        </w:r>
        <w:r w:rsidR="004638C3">
          <w:rPr>
            <w:webHidden/>
          </w:rPr>
        </w:r>
        <w:r w:rsidR="004638C3">
          <w:rPr>
            <w:webHidden/>
          </w:rPr>
          <w:fldChar w:fldCharType="separate"/>
        </w:r>
        <w:r w:rsidR="004638C3">
          <w:rPr>
            <w:webHidden/>
          </w:rPr>
          <w:t>17</w:t>
        </w:r>
        <w:r w:rsidR="004638C3">
          <w:rPr>
            <w:webHidden/>
          </w:rPr>
          <w:fldChar w:fldCharType="end"/>
        </w:r>
      </w:hyperlink>
    </w:p>
    <w:p w14:paraId="10BF55A4" w14:textId="35F47C66" w:rsidR="004638C3" w:rsidRDefault="004C05EC">
      <w:pPr>
        <w:pStyle w:val="TOC3"/>
        <w:rPr>
          <w:rFonts w:asciiTheme="minorHAnsi" w:eastAsiaTheme="minorEastAsia" w:hAnsiTheme="minorHAnsi" w:cstheme="minorBidi"/>
          <w:sz w:val="22"/>
          <w:szCs w:val="22"/>
          <w:lang w:val="de-CH" w:eastAsia="de-CH" w:bidi="ar-SA"/>
        </w:rPr>
      </w:pPr>
      <w:hyperlink w:anchor="_Toc71095502" w:history="1">
        <w:r w:rsidR="004638C3" w:rsidRPr="00B2282F">
          <w:rPr>
            <w:rStyle w:val="Hyperlink"/>
            <w:rtl/>
          </w:rPr>
          <w:t>3.5.4 تقييم المنشآت الصحية</w:t>
        </w:r>
        <w:r w:rsidR="004638C3">
          <w:rPr>
            <w:webHidden/>
          </w:rPr>
          <w:tab/>
        </w:r>
        <w:r w:rsidR="004638C3">
          <w:rPr>
            <w:webHidden/>
          </w:rPr>
          <w:fldChar w:fldCharType="begin"/>
        </w:r>
        <w:r w:rsidR="004638C3">
          <w:rPr>
            <w:webHidden/>
          </w:rPr>
          <w:instrText xml:space="preserve"> PAGEREF _Toc71095502 \h </w:instrText>
        </w:r>
        <w:r w:rsidR="004638C3">
          <w:rPr>
            <w:webHidden/>
          </w:rPr>
        </w:r>
        <w:r w:rsidR="004638C3">
          <w:rPr>
            <w:webHidden/>
          </w:rPr>
          <w:fldChar w:fldCharType="separate"/>
        </w:r>
        <w:r w:rsidR="004638C3">
          <w:rPr>
            <w:webHidden/>
          </w:rPr>
          <w:t>17</w:t>
        </w:r>
        <w:r w:rsidR="004638C3">
          <w:rPr>
            <w:webHidden/>
          </w:rPr>
          <w:fldChar w:fldCharType="end"/>
        </w:r>
      </w:hyperlink>
    </w:p>
    <w:p w14:paraId="17452C1A" w14:textId="698D93E7" w:rsidR="004638C3" w:rsidRDefault="004C05EC">
      <w:pPr>
        <w:pStyle w:val="TOC3"/>
        <w:rPr>
          <w:rFonts w:asciiTheme="minorHAnsi" w:eastAsiaTheme="minorEastAsia" w:hAnsiTheme="minorHAnsi" w:cstheme="minorBidi"/>
          <w:sz w:val="22"/>
          <w:szCs w:val="22"/>
          <w:lang w:val="de-CH" w:eastAsia="de-CH" w:bidi="ar-SA"/>
        </w:rPr>
      </w:pPr>
      <w:hyperlink w:anchor="_Toc71095503" w:history="1">
        <w:r w:rsidR="004638C3" w:rsidRPr="00B2282F">
          <w:rPr>
            <w:rStyle w:val="Hyperlink"/>
            <w:rtl/>
          </w:rPr>
          <w:t>3.5.5 المراقبة المباشرة</w:t>
        </w:r>
        <w:r w:rsidR="004638C3">
          <w:rPr>
            <w:webHidden/>
          </w:rPr>
          <w:tab/>
        </w:r>
        <w:r w:rsidR="004638C3">
          <w:rPr>
            <w:webHidden/>
          </w:rPr>
          <w:fldChar w:fldCharType="begin"/>
        </w:r>
        <w:r w:rsidR="004638C3">
          <w:rPr>
            <w:webHidden/>
          </w:rPr>
          <w:instrText xml:space="preserve"> PAGEREF _Toc71095503 \h </w:instrText>
        </w:r>
        <w:r w:rsidR="004638C3">
          <w:rPr>
            <w:webHidden/>
          </w:rPr>
        </w:r>
        <w:r w:rsidR="004638C3">
          <w:rPr>
            <w:webHidden/>
          </w:rPr>
          <w:fldChar w:fldCharType="separate"/>
        </w:r>
        <w:r w:rsidR="004638C3">
          <w:rPr>
            <w:webHidden/>
          </w:rPr>
          <w:t>18</w:t>
        </w:r>
        <w:r w:rsidR="004638C3">
          <w:rPr>
            <w:webHidden/>
          </w:rPr>
          <w:fldChar w:fldCharType="end"/>
        </w:r>
      </w:hyperlink>
    </w:p>
    <w:p w14:paraId="53B9ABC6" w14:textId="56051992" w:rsidR="004638C3" w:rsidRDefault="004C05EC">
      <w:pPr>
        <w:pStyle w:val="TOC3"/>
        <w:rPr>
          <w:rFonts w:asciiTheme="minorHAnsi" w:eastAsiaTheme="minorEastAsia" w:hAnsiTheme="minorHAnsi" w:cstheme="minorBidi"/>
          <w:sz w:val="22"/>
          <w:szCs w:val="22"/>
          <w:lang w:val="de-CH" w:eastAsia="de-CH" w:bidi="ar-SA"/>
        </w:rPr>
      </w:pPr>
      <w:hyperlink w:anchor="_Toc71095504" w:history="1">
        <w:r w:rsidR="004638C3" w:rsidRPr="00B2282F">
          <w:rPr>
            <w:rStyle w:val="Hyperlink"/>
            <w:rtl/>
          </w:rPr>
          <w:t>3.5.6 ملخص جمع البيانات</w:t>
        </w:r>
        <w:r w:rsidR="004638C3">
          <w:rPr>
            <w:webHidden/>
          </w:rPr>
          <w:tab/>
        </w:r>
        <w:r w:rsidR="004638C3">
          <w:rPr>
            <w:webHidden/>
          </w:rPr>
          <w:fldChar w:fldCharType="begin"/>
        </w:r>
        <w:r w:rsidR="004638C3">
          <w:rPr>
            <w:webHidden/>
          </w:rPr>
          <w:instrText xml:space="preserve"> PAGEREF _Toc71095504 \h </w:instrText>
        </w:r>
        <w:r w:rsidR="004638C3">
          <w:rPr>
            <w:webHidden/>
          </w:rPr>
        </w:r>
        <w:r w:rsidR="004638C3">
          <w:rPr>
            <w:webHidden/>
          </w:rPr>
          <w:fldChar w:fldCharType="separate"/>
        </w:r>
        <w:r w:rsidR="004638C3">
          <w:rPr>
            <w:webHidden/>
          </w:rPr>
          <w:t>18</w:t>
        </w:r>
        <w:r w:rsidR="004638C3">
          <w:rPr>
            <w:webHidden/>
          </w:rPr>
          <w:fldChar w:fldCharType="end"/>
        </w:r>
      </w:hyperlink>
    </w:p>
    <w:p w14:paraId="14FFABF7" w14:textId="5BECE95F" w:rsidR="004638C3" w:rsidRDefault="004C05EC">
      <w:pPr>
        <w:pStyle w:val="TOC2"/>
        <w:rPr>
          <w:rFonts w:asciiTheme="minorHAnsi" w:eastAsiaTheme="minorEastAsia" w:hAnsiTheme="minorHAnsi" w:cstheme="minorBidi"/>
          <w:sz w:val="22"/>
          <w:szCs w:val="22"/>
          <w:lang w:val="de-CH" w:eastAsia="de-CH" w:bidi="ar-SA"/>
        </w:rPr>
      </w:pPr>
      <w:hyperlink w:anchor="_Toc71095505" w:history="1">
        <w:r w:rsidR="004638C3" w:rsidRPr="00B2282F">
          <w:rPr>
            <w:rStyle w:val="Hyperlink"/>
            <w:rtl/>
          </w:rPr>
          <w:t>3.6 إدارة البيانات</w:t>
        </w:r>
        <w:r w:rsidR="004638C3">
          <w:rPr>
            <w:webHidden/>
          </w:rPr>
          <w:tab/>
        </w:r>
        <w:r w:rsidR="004638C3">
          <w:rPr>
            <w:webHidden/>
          </w:rPr>
          <w:fldChar w:fldCharType="begin"/>
        </w:r>
        <w:r w:rsidR="004638C3">
          <w:rPr>
            <w:webHidden/>
          </w:rPr>
          <w:instrText xml:space="preserve"> PAGEREF _Toc71095505 \h </w:instrText>
        </w:r>
        <w:r w:rsidR="004638C3">
          <w:rPr>
            <w:webHidden/>
          </w:rPr>
        </w:r>
        <w:r w:rsidR="004638C3">
          <w:rPr>
            <w:webHidden/>
          </w:rPr>
          <w:fldChar w:fldCharType="separate"/>
        </w:r>
        <w:r w:rsidR="004638C3">
          <w:rPr>
            <w:webHidden/>
          </w:rPr>
          <w:t>20</w:t>
        </w:r>
        <w:r w:rsidR="004638C3">
          <w:rPr>
            <w:webHidden/>
          </w:rPr>
          <w:fldChar w:fldCharType="end"/>
        </w:r>
      </w:hyperlink>
    </w:p>
    <w:p w14:paraId="2F74DED3" w14:textId="3686FB8A" w:rsidR="004638C3" w:rsidRDefault="004C05EC">
      <w:pPr>
        <w:pStyle w:val="TOC3"/>
        <w:rPr>
          <w:rFonts w:asciiTheme="minorHAnsi" w:eastAsiaTheme="minorEastAsia" w:hAnsiTheme="minorHAnsi" w:cstheme="minorBidi"/>
          <w:sz w:val="22"/>
          <w:szCs w:val="22"/>
          <w:lang w:val="de-CH" w:eastAsia="de-CH" w:bidi="ar-SA"/>
        </w:rPr>
      </w:pPr>
      <w:hyperlink w:anchor="_Toc71095506" w:history="1">
        <w:r w:rsidR="004638C3" w:rsidRPr="00B2282F">
          <w:rPr>
            <w:rStyle w:val="Hyperlink"/>
            <w:rtl/>
          </w:rPr>
          <w:t>3.6.1 تسجيل البيانات</w:t>
        </w:r>
        <w:r w:rsidR="004638C3">
          <w:rPr>
            <w:webHidden/>
          </w:rPr>
          <w:tab/>
        </w:r>
        <w:r w:rsidR="004638C3">
          <w:rPr>
            <w:webHidden/>
          </w:rPr>
          <w:fldChar w:fldCharType="begin"/>
        </w:r>
        <w:r w:rsidR="004638C3">
          <w:rPr>
            <w:webHidden/>
          </w:rPr>
          <w:instrText xml:space="preserve"> PAGEREF _Toc71095506 \h </w:instrText>
        </w:r>
        <w:r w:rsidR="004638C3">
          <w:rPr>
            <w:webHidden/>
          </w:rPr>
        </w:r>
        <w:r w:rsidR="004638C3">
          <w:rPr>
            <w:webHidden/>
          </w:rPr>
          <w:fldChar w:fldCharType="separate"/>
        </w:r>
        <w:r w:rsidR="004638C3">
          <w:rPr>
            <w:webHidden/>
          </w:rPr>
          <w:t>20</w:t>
        </w:r>
        <w:r w:rsidR="004638C3">
          <w:rPr>
            <w:webHidden/>
          </w:rPr>
          <w:fldChar w:fldCharType="end"/>
        </w:r>
      </w:hyperlink>
    </w:p>
    <w:p w14:paraId="3195120E" w14:textId="74D9F7CF" w:rsidR="004638C3" w:rsidRDefault="004C05EC">
      <w:pPr>
        <w:pStyle w:val="TOC3"/>
        <w:rPr>
          <w:rFonts w:asciiTheme="minorHAnsi" w:eastAsiaTheme="minorEastAsia" w:hAnsiTheme="minorHAnsi" w:cstheme="minorBidi"/>
          <w:sz w:val="22"/>
          <w:szCs w:val="22"/>
          <w:lang w:val="de-CH" w:eastAsia="de-CH" w:bidi="ar-SA"/>
        </w:rPr>
      </w:pPr>
      <w:hyperlink w:anchor="_Toc71095507" w:history="1">
        <w:r w:rsidR="004638C3" w:rsidRPr="00B2282F">
          <w:rPr>
            <w:rStyle w:val="Hyperlink"/>
            <w:rtl/>
          </w:rPr>
          <w:t>3.6.2 حماية البيانات وسريتها</w:t>
        </w:r>
        <w:r w:rsidR="004638C3">
          <w:rPr>
            <w:webHidden/>
          </w:rPr>
          <w:tab/>
        </w:r>
        <w:r w:rsidR="004638C3">
          <w:rPr>
            <w:webHidden/>
          </w:rPr>
          <w:fldChar w:fldCharType="begin"/>
        </w:r>
        <w:r w:rsidR="004638C3">
          <w:rPr>
            <w:webHidden/>
          </w:rPr>
          <w:instrText xml:space="preserve"> PAGEREF _Toc71095507 \h </w:instrText>
        </w:r>
        <w:r w:rsidR="004638C3">
          <w:rPr>
            <w:webHidden/>
          </w:rPr>
        </w:r>
        <w:r w:rsidR="004638C3">
          <w:rPr>
            <w:webHidden/>
          </w:rPr>
          <w:fldChar w:fldCharType="separate"/>
        </w:r>
        <w:r w:rsidR="004638C3">
          <w:rPr>
            <w:webHidden/>
          </w:rPr>
          <w:t>20</w:t>
        </w:r>
        <w:r w:rsidR="004638C3">
          <w:rPr>
            <w:webHidden/>
          </w:rPr>
          <w:fldChar w:fldCharType="end"/>
        </w:r>
      </w:hyperlink>
    </w:p>
    <w:p w14:paraId="3EE26EEA" w14:textId="16913A1F" w:rsidR="004638C3" w:rsidRDefault="004C05EC">
      <w:pPr>
        <w:pStyle w:val="TOC3"/>
        <w:rPr>
          <w:rFonts w:asciiTheme="minorHAnsi" w:eastAsiaTheme="minorEastAsia" w:hAnsiTheme="minorHAnsi" w:cstheme="minorBidi"/>
          <w:sz w:val="22"/>
          <w:szCs w:val="22"/>
          <w:lang w:val="de-CH" w:eastAsia="de-CH" w:bidi="ar-SA"/>
        </w:rPr>
      </w:pPr>
      <w:hyperlink w:anchor="_Toc71095508" w:history="1">
        <w:r w:rsidR="004638C3" w:rsidRPr="00B2282F">
          <w:rPr>
            <w:rStyle w:val="Hyperlink"/>
            <w:rtl/>
          </w:rPr>
          <w:t>3.6.3 ملكية البيانات ومشاركتها</w:t>
        </w:r>
        <w:r w:rsidR="004638C3">
          <w:rPr>
            <w:webHidden/>
          </w:rPr>
          <w:tab/>
        </w:r>
        <w:r w:rsidR="004638C3">
          <w:rPr>
            <w:webHidden/>
          </w:rPr>
          <w:fldChar w:fldCharType="begin"/>
        </w:r>
        <w:r w:rsidR="004638C3">
          <w:rPr>
            <w:webHidden/>
          </w:rPr>
          <w:instrText xml:space="preserve"> PAGEREF _Toc71095508 \h </w:instrText>
        </w:r>
        <w:r w:rsidR="004638C3">
          <w:rPr>
            <w:webHidden/>
          </w:rPr>
        </w:r>
        <w:r w:rsidR="004638C3">
          <w:rPr>
            <w:webHidden/>
          </w:rPr>
          <w:fldChar w:fldCharType="separate"/>
        </w:r>
        <w:r w:rsidR="004638C3">
          <w:rPr>
            <w:webHidden/>
          </w:rPr>
          <w:t>20</w:t>
        </w:r>
        <w:r w:rsidR="004638C3">
          <w:rPr>
            <w:webHidden/>
          </w:rPr>
          <w:fldChar w:fldCharType="end"/>
        </w:r>
      </w:hyperlink>
    </w:p>
    <w:p w14:paraId="0FC5D9F5" w14:textId="4E2AD353" w:rsidR="004638C3" w:rsidRDefault="004C05EC">
      <w:pPr>
        <w:pStyle w:val="TOC2"/>
        <w:rPr>
          <w:rFonts w:asciiTheme="minorHAnsi" w:eastAsiaTheme="minorEastAsia" w:hAnsiTheme="minorHAnsi" w:cstheme="minorBidi"/>
          <w:sz w:val="22"/>
          <w:szCs w:val="22"/>
          <w:lang w:val="de-CH" w:eastAsia="de-CH" w:bidi="ar-SA"/>
        </w:rPr>
      </w:pPr>
      <w:hyperlink w:anchor="_Toc71095509" w:history="1">
        <w:r w:rsidR="004638C3" w:rsidRPr="00B2282F">
          <w:rPr>
            <w:rStyle w:val="Hyperlink"/>
            <w:rtl/>
          </w:rPr>
          <w:t>3.7 تحليل البيانات</w:t>
        </w:r>
        <w:r w:rsidR="004638C3">
          <w:rPr>
            <w:webHidden/>
          </w:rPr>
          <w:tab/>
        </w:r>
        <w:r w:rsidR="004638C3">
          <w:rPr>
            <w:webHidden/>
          </w:rPr>
          <w:fldChar w:fldCharType="begin"/>
        </w:r>
        <w:r w:rsidR="004638C3">
          <w:rPr>
            <w:webHidden/>
          </w:rPr>
          <w:instrText xml:space="preserve"> PAGEREF _Toc71095509 \h </w:instrText>
        </w:r>
        <w:r w:rsidR="004638C3">
          <w:rPr>
            <w:webHidden/>
          </w:rPr>
        </w:r>
        <w:r w:rsidR="004638C3">
          <w:rPr>
            <w:webHidden/>
          </w:rPr>
          <w:fldChar w:fldCharType="separate"/>
        </w:r>
        <w:r w:rsidR="004638C3">
          <w:rPr>
            <w:webHidden/>
          </w:rPr>
          <w:t>21</w:t>
        </w:r>
        <w:r w:rsidR="004638C3">
          <w:rPr>
            <w:webHidden/>
          </w:rPr>
          <w:fldChar w:fldCharType="end"/>
        </w:r>
      </w:hyperlink>
    </w:p>
    <w:p w14:paraId="34474267" w14:textId="082327E3" w:rsidR="004638C3" w:rsidRDefault="004C05EC">
      <w:pPr>
        <w:pStyle w:val="TOC3"/>
        <w:rPr>
          <w:rFonts w:asciiTheme="minorHAnsi" w:eastAsiaTheme="minorEastAsia" w:hAnsiTheme="minorHAnsi" w:cstheme="minorBidi"/>
          <w:sz w:val="22"/>
          <w:szCs w:val="22"/>
          <w:lang w:val="de-CH" w:eastAsia="de-CH" w:bidi="ar-SA"/>
        </w:rPr>
      </w:pPr>
      <w:hyperlink w:anchor="_Toc71095510" w:history="1">
        <w:r w:rsidR="004638C3" w:rsidRPr="00B2282F">
          <w:rPr>
            <w:rStyle w:val="Hyperlink"/>
            <w:rtl/>
          </w:rPr>
          <w:t>3.7.1 مجموعات البيانات المقرر تحليلها</w:t>
        </w:r>
        <w:r w:rsidR="004638C3">
          <w:rPr>
            <w:webHidden/>
          </w:rPr>
          <w:tab/>
        </w:r>
        <w:r w:rsidR="004638C3">
          <w:rPr>
            <w:webHidden/>
          </w:rPr>
          <w:fldChar w:fldCharType="begin"/>
        </w:r>
        <w:r w:rsidR="004638C3">
          <w:rPr>
            <w:webHidden/>
          </w:rPr>
          <w:instrText xml:space="preserve"> PAGEREF _Toc71095510 \h </w:instrText>
        </w:r>
        <w:r w:rsidR="004638C3">
          <w:rPr>
            <w:webHidden/>
          </w:rPr>
        </w:r>
        <w:r w:rsidR="004638C3">
          <w:rPr>
            <w:webHidden/>
          </w:rPr>
          <w:fldChar w:fldCharType="separate"/>
        </w:r>
        <w:r w:rsidR="004638C3">
          <w:rPr>
            <w:webHidden/>
          </w:rPr>
          <w:t>21</w:t>
        </w:r>
        <w:r w:rsidR="004638C3">
          <w:rPr>
            <w:webHidden/>
          </w:rPr>
          <w:fldChar w:fldCharType="end"/>
        </w:r>
      </w:hyperlink>
    </w:p>
    <w:p w14:paraId="2CCB3E50" w14:textId="4A738CF2" w:rsidR="004638C3" w:rsidRDefault="004C05EC">
      <w:pPr>
        <w:pStyle w:val="TOC3"/>
        <w:rPr>
          <w:rFonts w:asciiTheme="minorHAnsi" w:eastAsiaTheme="minorEastAsia" w:hAnsiTheme="minorHAnsi" w:cstheme="minorBidi"/>
          <w:sz w:val="22"/>
          <w:szCs w:val="22"/>
          <w:lang w:val="de-CH" w:eastAsia="de-CH" w:bidi="ar-SA"/>
        </w:rPr>
      </w:pPr>
      <w:hyperlink w:anchor="_Toc71095511" w:history="1">
        <w:r w:rsidR="004638C3" w:rsidRPr="00B2282F">
          <w:rPr>
            <w:rStyle w:val="Hyperlink"/>
            <w:rtl/>
          </w:rPr>
          <w:t>3.7.2 تحليل البيانات وإعداد التقارير</w:t>
        </w:r>
        <w:r w:rsidR="004638C3">
          <w:rPr>
            <w:webHidden/>
          </w:rPr>
          <w:tab/>
        </w:r>
        <w:r w:rsidR="004638C3">
          <w:rPr>
            <w:webHidden/>
          </w:rPr>
          <w:fldChar w:fldCharType="begin"/>
        </w:r>
        <w:r w:rsidR="004638C3">
          <w:rPr>
            <w:webHidden/>
          </w:rPr>
          <w:instrText xml:space="preserve"> PAGEREF _Toc71095511 \h </w:instrText>
        </w:r>
        <w:r w:rsidR="004638C3">
          <w:rPr>
            <w:webHidden/>
          </w:rPr>
        </w:r>
        <w:r w:rsidR="004638C3">
          <w:rPr>
            <w:webHidden/>
          </w:rPr>
          <w:fldChar w:fldCharType="separate"/>
        </w:r>
        <w:r w:rsidR="004638C3">
          <w:rPr>
            <w:webHidden/>
          </w:rPr>
          <w:t>21</w:t>
        </w:r>
        <w:r w:rsidR="004638C3">
          <w:rPr>
            <w:webHidden/>
          </w:rPr>
          <w:fldChar w:fldCharType="end"/>
        </w:r>
      </w:hyperlink>
    </w:p>
    <w:p w14:paraId="0C225530" w14:textId="38E49FFF" w:rsidR="004638C3" w:rsidRDefault="004C05EC">
      <w:pPr>
        <w:pStyle w:val="TOC1"/>
        <w:tabs>
          <w:tab w:val="left" w:pos="1761"/>
        </w:tabs>
        <w:rPr>
          <w:rFonts w:asciiTheme="minorHAnsi" w:eastAsiaTheme="minorEastAsia" w:hAnsiTheme="minorHAnsi" w:cstheme="minorBidi"/>
          <w:b w:val="0"/>
          <w:sz w:val="22"/>
          <w:szCs w:val="22"/>
          <w:lang w:val="de-CH" w:eastAsia="de-CH" w:bidi="ar-SA"/>
        </w:rPr>
      </w:pPr>
      <w:hyperlink w:anchor="_Toc71095512" w:history="1">
        <w:r w:rsidR="004638C3" w:rsidRPr="00B2282F">
          <w:rPr>
            <w:rStyle w:val="Hyperlink"/>
            <w:rtl/>
          </w:rPr>
          <w:t>4.</w:t>
        </w:r>
        <w:r w:rsidR="004638C3">
          <w:rPr>
            <w:rFonts w:asciiTheme="minorHAnsi" w:eastAsiaTheme="minorEastAsia" w:hAnsiTheme="minorHAnsi" w:cstheme="minorBidi"/>
            <w:b w:val="0"/>
            <w:sz w:val="22"/>
            <w:szCs w:val="22"/>
            <w:lang w:val="de-CH" w:eastAsia="de-CH" w:bidi="ar-SA"/>
          </w:rPr>
          <w:tab/>
        </w:r>
        <w:r w:rsidR="004638C3" w:rsidRPr="00B2282F">
          <w:rPr>
            <w:rStyle w:val="Hyperlink"/>
            <w:rtl/>
          </w:rPr>
          <w:t>الاعتبارات الأخلاقية</w:t>
        </w:r>
        <w:r w:rsidR="004638C3">
          <w:rPr>
            <w:webHidden/>
          </w:rPr>
          <w:tab/>
        </w:r>
        <w:r w:rsidR="004638C3">
          <w:rPr>
            <w:webHidden/>
          </w:rPr>
          <w:fldChar w:fldCharType="begin"/>
        </w:r>
        <w:r w:rsidR="004638C3">
          <w:rPr>
            <w:webHidden/>
          </w:rPr>
          <w:instrText xml:space="preserve"> PAGEREF _Toc71095512 \h </w:instrText>
        </w:r>
        <w:r w:rsidR="004638C3">
          <w:rPr>
            <w:webHidden/>
          </w:rPr>
        </w:r>
        <w:r w:rsidR="004638C3">
          <w:rPr>
            <w:webHidden/>
          </w:rPr>
          <w:fldChar w:fldCharType="separate"/>
        </w:r>
        <w:r w:rsidR="004638C3">
          <w:rPr>
            <w:webHidden/>
          </w:rPr>
          <w:t>22</w:t>
        </w:r>
        <w:r w:rsidR="004638C3">
          <w:rPr>
            <w:webHidden/>
          </w:rPr>
          <w:fldChar w:fldCharType="end"/>
        </w:r>
      </w:hyperlink>
    </w:p>
    <w:p w14:paraId="1C2AC8EA" w14:textId="53F13357" w:rsidR="004638C3" w:rsidRDefault="004C05EC">
      <w:pPr>
        <w:pStyle w:val="TOC2"/>
        <w:rPr>
          <w:rFonts w:asciiTheme="minorHAnsi" w:eastAsiaTheme="minorEastAsia" w:hAnsiTheme="minorHAnsi" w:cstheme="minorBidi"/>
          <w:sz w:val="22"/>
          <w:szCs w:val="22"/>
          <w:lang w:val="de-CH" w:eastAsia="de-CH" w:bidi="ar-SA"/>
        </w:rPr>
      </w:pPr>
      <w:hyperlink w:anchor="_Toc71095513" w:history="1">
        <w:r w:rsidR="004638C3" w:rsidRPr="00B2282F">
          <w:rPr>
            <w:rStyle w:val="Hyperlink"/>
            <w:rtl/>
          </w:rPr>
          <w:t>4.1 السلوك الأخلاقي في الدراسة</w:t>
        </w:r>
        <w:r w:rsidR="004638C3">
          <w:rPr>
            <w:webHidden/>
          </w:rPr>
          <w:tab/>
        </w:r>
        <w:r w:rsidR="004638C3">
          <w:rPr>
            <w:webHidden/>
          </w:rPr>
          <w:fldChar w:fldCharType="begin"/>
        </w:r>
        <w:r w:rsidR="004638C3">
          <w:rPr>
            <w:webHidden/>
          </w:rPr>
          <w:instrText xml:space="preserve"> PAGEREF _Toc71095513 \h </w:instrText>
        </w:r>
        <w:r w:rsidR="004638C3">
          <w:rPr>
            <w:webHidden/>
          </w:rPr>
        </w:r>
        <w:r w:rsidR="004638C3">
          <w:rPr>
            <w:webHidden/>
          </w:rPr>
          <w:fldChar w:fldCharType="separate"/>
        </w:r>
        <w:r w:rsidR="004638C3">
          <w:rPr>
            <w:webHidden/>
          </w:rPr>
          <w:t>22</w:t>
        </w:r>
        <w:r w:rsidR="004638C3">
          <w:rPr>
            <w:webHidden/>
          </w:rPr>
          <w:fldChar w:fldCharType="end"/>
        </w:r>
      </w:hyperlink>
    </w:p>
    <w:p w14:paraId="306A6E82" w14:textId="3D91A21A" w:rsidR="004638C3" w:rsidRDefault="004C05EC">
      <w:pPr>
        <w:pStyle w:val="TOC2"/>
        <w:rPr>
          <w:rFonts w:asciiTheme="minorHAnsi" w:eastAsiaTheme="minorEastAsia" w:hAnsiTheme="minorHAnsi" w:cstheme="minorBidi"/>
          <w:sz w:val="22"/>
          <w:szCs w:val="22"/>
          <w:lang w:val="de-CH" w:eastAsia="de-CH" w:bidi="ar-SA"/>
        </w:rPr>
      </w:pPr>
      <w:hyperlink w:anchor="_Toc71095514" w:history="1">
        <w:r w:rsidR="004638C3" w:rsidRPr="00B2282F">
          <w:rPr>
            <w:rStyle w:val="Hyperlink"/>
            <w:rtl/>
          </w:rPr>
          <w:t>4.2 تقييم المخاطر والفوائد وحماية المشاركين</w:t>
        </w:r>
        <w:r w:rsidR="004638C3">
          <w:rPr>
            <w:webHidden/>
          </w:rPr>
          <w:tab/>
        </w:r>
        <w:r w:rsidR="004638C3">
          <w:rPr>
            <w:webHidden/>
          </w:rPr>
          <w:fldChar w:fldCharType="begin"/>
        </w:r>
        <w:r w:rsidR="004638C3">
          <w:rPr>
            <w:webHidden/>
          </w:rPr>
          <w:instrText xml:space="preserve"> PAGEREF _Toc71095514 \h </w:instrText>
        </w:r>
        <w:r w:rsidR="004638C3">
          <w:rPr>
            <w:webHidden/>
          </w:rPr>
        </w:r>
        <w:r w:rsidR="004638C3">
          <w:rPr>
            <w:webHidden/>
          </w:rPr>
          <w:fldChar w:fldCharType="separate"/>
        </w:r>
        <w:r w:rsidR="004638C3">
          <w:rPr>
            <w:webHidden/>
          </w:rPr>
          <w:t>22</w:t>
        </w:r>
        <w:r w:rsidR="004638C3">
          <w:rPr>
            <w:webHidden/>
          </w:rPr>
          <w:fldChar w:fldCharType="end"/>
        </w:r>
      </w:hyperlink>
    </w:p>
    <w:p w14:paraId="7E1E3F39" w14:textId="1B955BA7" w:rsidR="004638C3" w:rsidRDefault="004C05EC">
      <w:pPr>
        <w:pStyle w:val="TOC2"/>
        <w:rPr>
          <w:rFonts w:asciiTheme="minorHAnsi" w:eastAsiaTheme="minorEastAsia" w:hAnsiTheme="minorHAnsi" w:cstheme="minorBidi"/>
          <w:sz w:val="22"/>
          <w:szCs w:val="22"/>
          <w:lang w:val="de-CH" w:eastAsia="de-CH" w:bidi="ar-SA"/>
        </w:rPr>
      </w:pPr>
      <w:hyperlink w:anchor="_Toc71095515" w:history="1">
        <w:r w:rsidR="004638C3" w:rsidRPr="00B2282F">
          <w:rPr>
            <w:rStyle w:val="Hyperlink"/>
            <w:rtl/>
          </w:rPr>
          <w:t>4.3 معلومات المشاركين والموافقة المستنيرة</w:t>
        </w:r>
        <w:r w:rsidR="004638C3">
          <w:rPr>
            <w:webHidden/>
          </w:rPr>
          <w:tab/>
        </w:r>
        <w:r w:rsidR="004638C3">
          <w:rPr>
            <w:webHidden/>
          </w:rPr>
          <w:fldChar w:fldCharType="begin"/>
        </w:r>
        <w:r w:rsidR="004638C3">
          <w:rPr>
            <w:webHidden/>
          </w:rPr>
          <w:instrText xml:space="preserve"> PAGEREF _Toc71095515 \h </w:instrText>
        </w:r>
        <w:r w:rsidR="004638C3">
          <w:rPr>
            <w:webHidden/>
          </w:rPr>
        </w:r>
        <w:r w:rsidR="004638C3">
          <w:rPr>
            <w:webHidden/>
          </w:rPr>
          <w:fldChar w:fldCharType="separate"/>
        </w:r>
        <w:r w:rsidR="004638C3">
          <w:rPr>
            <w:webHidden/>
          </w:rPr>
          <w:t>25</w:t>
        </w:r>
        <w:r w:rsidR="004638C3">
          <w:rPr>
            <w:webHidden/>
          </w:rPr>
          <w:fldChar w:fldCharType="end"/>
        </w:r>
      </w:hyperlink>
    </w:p>
    <w:p w14:paraId="696C7147" w14:textId="1581CCC5" w:rsidR="004638C3" w:rsidRDefault="004C05EC">
      <w:pPr>
        <w:pStyle w:val="TOC2"/>
        <w:rPr>
          <w:rFonts w:asciiTheme="minorHAnsi" w:eastAsiaTheme="minorEastAsia" w:hAnsiTheme="minorHAnsi" w:cstheme="minorBidi"/>
          <w:sz w:val="22"/>
          <w:szCs w:val="22"/>
          <w:lang w:val="de-CH" w:eastAsia="de-CH" w:bidi="ar-SA"/>
        </w:rPr>
      </w:pPr>
      <w:hyperlink w:anchor="_Toc71095516" w:history="1">
        <w:r w:rsidR="004638C3" w:rsidRPr="00B2282F">
          <w:rPr>
            <w:rStyle w:val="Hyperlink"/>
            <w:rtl/>
          </w:rPr>
          <w:t>4.4 التعديلات والتغييرات</w:t>
        </w:r>
        <w:r w:rsidR="004638C3">
          <w:rPr>
            <w:webHidden/>
          </w:rPr>
          <w:tab/>
        </w:r>
        <w:r w:rsidR="004638C3">
          <w:rPr>
            <w:webHidden/>
          </w:rPr>
          <w:fldChar w:fldCharType="begin"/>
        </w:r>
        <w:r w:rsidR="004638C3">
          <w:rPr>
            <w:webHidden/>
          </w:rPr>
          <w:instrText xml:space="preserve"> PAGEREF _Toc71095516 \h </w:instrText>
        </w:r>
        <w:r w:rsidR="004638C3">
          <w:rPr>
            <w:webHidden/>
          </w:rPr>
        </w:r>
        <w:r w:rsidR="004638C3">
          <w:rPr>
            <w:webHidden/>
          </w:rPr>
          <w:fldChar w:fldCharType="separate"/>
        </w:r>
        <w:r w:rsidR="004638C3">
          <w:rPr>
            <w:webHidden/>
          </w:rPr>
          <w:t>25</w:t>
        </w:r>
        <w:r w:rsidR="004638C3">
          <w:rPr>
            <w:webHidden/>
          </w:rPr>
          <w:fldChar w:fldCharType="end"/>
        </w:r>
      </w:hyperlink>
    </w:p>
    <w:p w14:paraId="0042AF80" w14:textId="2011008E" w:rsidR="004638C3" w:rsidRDefault="004C05EC">
      <w:pPr>
        <w:pStyle w:val="TOC1"/>
        <w:tabs>
          <w:tab w:val="left" w:pos="1320"/>
        </w:tabs>
        <w:rPr>
          <w:rFonts w:asciiTheme="minorHAnsi" w:eastAsiaTheme="minorEastAsia" w:hAnsiTheme="minorHAnsi" w:cstheme="minorBidi"/>
          <w:b w:val="0"/>
          <w:sz w:val="22"/>
          <w:szCs w:val="22"/>
          <w:lang w:val="de-CH" w:eastAsia="de-CH" w:bidi="ar-SA"/>
        </w:rPr>
      </w:pPr>
      <w:hyperlink w:anchor="_Toc71095517" w:history="1">
        <w:r w:rsidR="004638C3" w:rsidRPr="00B2282F">
          <w:rPr>
            <w:rStyle w:val="Hyperlink"/>
            <w:rtl/>
          </w:rPr>
          <w:t>5.</w:t>
        </w:r>
        <w:r w:rsidR="004638C3">
          <w:rPr>
            <w:rFonts w:asciiTheme="minorHAnsi" w:eastAsiaTheme="minorEastAsia" w:hAnsiTheme="minorHAnsi" w:cstheme="minorBidi"/>
            <w:b w:val="0"/>
            <w:sz w:val="22"/>
            <w:szCs w:val="22"/>
            <w:lang w:val="de-CH" w:eastAsia="de-CH" w:bidi="ar-SA"/>
          </w:rPr>
          <w:tab/>
        </w:r>
        <w:r w:rsidR="004638C3" w:rsidRPr="00B2282F">
          <w:rPr>
            <w:rStyle w:val="Hyperlink"/>
            <w:rtl/>
          </w:rPr>
          <w:t>الإبلاغ والنشر</w:t>
        </w:r>
        <w:r w:rsidR="004638C3">
          <w:rPr>
            <w:webHidden/>
          </w:rPr>
          <w:tab/>
        </w:r>
        <w:r w:rsidR="004638C3">
          <w:rPr>
            <w:webHidden/>
          </w:rPr>
          <w:fldChar w:fldCharType="begin"/>
        </w:r>
        <w:r w:rsidR="004638C3">
          <w:rPr>
            <w:webHidden/>
          </w:rPr>
          <w:instrText xml:space="preserve"> PAGEREF _Toc71095517 \h </w:instrText>
        </w:r>
        <w:r w:rsidR="004638C3">
          <w:rPr>
            <w:webHidden/>
          </w:rPr>
        </w:r>
        <w:r w:rsidR="004638C3">
          <w:rPr>
            <w:webHidden/>
          </w:rPr>
          <w:fldChar w:fldCharType="separate"/>
        </w:r>
        <w:r w:rsidR="004638C3">
          <w:rPr>
            <w:webHidden/>
          </w:rPr>
          <w:t>26</w:t>
        </w:r>
        <w:r w:rsidR="004638C3">
          <w:rPr>
            <w:webHidden/>
          </w:rPr>
          <w:fldChar w:fldCharType="end"/>
        </w:r>
      </w:hyperlink>
    </w:p>
    <w:p w14:paraId="19537AE6" w14:textId="56E18B9F" w:rsidR="004638C3" w:rsidRDefault="004C05EC">
      <w:pPr>
        <w:pStyle w:val="TOC2"/>
        <w:rPr>
          <w:rFonts w:asciiTheme="minorHAnsi" w:eastAsiaTheme="minorEastAsia" w:hAnsiTheme="minorHAnsi" w:cstheme="minorBidi"/>
          <w:sz w:val="22"/>
          <w:szCs w:val="22"/>
          <w:lang w:val="de-CH" w:eastAsia="de-CH" w:bidi="ar-SA"/>
        </w:rPr>
      </w:pPr>
      <w:hyperlink w:anchor="_Toc71095518" w:history="1">
        <w:r w:rsidR="004638C3" w:rsidRPr="00B2282F">
          <w:rPr>
            <w:rStyle w:val="Hyperlink"/>
            <w:rtl/>
          </w:rPr>
          <w:t>5.1 الإبلاغ بالنتائج</w:t>
        </w:r>
        <w:r w:rsidR="004638C3">
          <w:rPr>
            <w:webHidden/>
          </w:rPr>
          <w:tab/>
        </w:r>
        <w:r w:rsidR="004638C3">
          <w:rPr>
            <w:webHidden/>
          </w:rPr>
          <w:fldChar w:fldCharType="begin"/>
        </w:r>
        <w:r w:rsidR="004638C3">
          <w:rPr>
            <w:webHidden/>
          </w:rPr>
          <w:instrText xml:space="preserve"> PAGEREF _Toc71095518 \h </w:instrText>
        </w:r>
        <w:r w:rsidR="004638C3">
          <w:rPr>
            <w:webHidden/>
          </w:rPr>
        </w:r>
        <w:r w:rsidR="004638C3">
          <w:rPr>
            <w:webHidden/>
          </w:rPr>
          <w:fldChar w:fldCharType="separate"/>
        </w:r>
        <w:r w:rsidR="004638C3">
          <w:rPr>
            <w:webHidden/>
          </w:rPr>
          <w:t>26</w:t>
        </w:r>
        <w:r w:rsidR="004638C3">
          <w:rPr>
            <w:webHidden/>
          </w:rPr>
          <w:fldChar w:fldCharType="end"/>
        </w:r>
      </w:hyperlink>
    </w:p>
    <w:p w14:paraId="329E8247" w14:textId="4A2850B4" w:rsidR="004638C3" w:rsidRDefault="004C05EC">
      <w:pPr>
        <w:pStyle w:val="TOC2"/>
        <w:rPr>
          <w:rFonts w:asciiTheme="minorHAnsi" w:eastAsiaTheme="minorEastAsia" w:hAnsiTheme="minorHAnsi" w:cstheme="minorBidi"/>
          <w:sz w:val="22"/>
          <w:szCs w:val="22"/>
          <w:lang w:val="de-CH" w:eastAsia="de-CH" w:bidi="ar-SA"/>
        </w:rPr>
      </w:pPr>
      <w:hyperlink w:anchor="_Toc71095519" w:history="1">
        <w:r w:rsidR="004638C3" w:rsidRPr="00B2282F">
          <w:rPr>
            <w:rStyle w:val="Hyperlink"/>
            <w:rtl/>
          </w:rPr>
          <w:t>5.2 ورشة عمل أصحاب المصلحة الوطنيين</w:t>
        </w:r>
        <w:r w:rsidR="004638C3">
          <w:rPr>
            <w:webHidden/>
          </w:rPr>
          <w:tab/>
        </w:r>
        <w:r w:rsidR="004638C3">
          <w:rPr>
            <w:webHidden/>
          </w:rPr>
          <w:fldChar w:fldCharType="begin"/>
        </w:r>
        <w:r w:rsidR="004638C3">
          <w:rPr>
            <w:webHidden/>
          </w:rPr>
          <w:instrText xml:space="preserve"> PAGEREF _Toc71095519 \h </w:instrText>
        </w:r>
        <w:r w:rsidR="004638C3">
          <w:rPr>
            <w:webHidden/>
          </w:rPr>
        </w:r>
        <w:r w:rsidR="004638C3">
          <w:rPr>
            <w:webHidden/>
          </w:rPr>
          <w:fldChar w:fldCharType="separate"/>
        </w:r>
        <w:r w:rsidR="004638C3">
          <w:rPr>
            <w:webHidden/>
          </w:rPr>
          <w:t>26</w:t>
        </w:r>
        <w:r w:rsidR="004638C3">
          <w:rPr>
            <w:webHidden/>
          </w:rPr>
          <w:fldChar w:fldCharType="end"/>
        </w:r>
      </w:hyperlink>
    </w:p>
    <w:p w14:paraId="05F8B2E6" w14:textId="08250806" w:rsidR="004638C3" w:rsidRDefault="004C05EC">
      <w:pPr>
        <w:pStyle w:val="TOC2"/>
        <w:rPr>
          <w:rFonts w:asciiTheme="minorHAnsi" w:eastAsiaTheme="minorEastAsia" w:hAnsiTheme="minorHAnsi" w:cstheme="minorBidi"/>
          <w:sz w:val="22"/>
          <w:szCs w:val="22"/>
          <w:lang w:val="de-CH" w:eastAsia="de-CH" w:bidi="ar-SA"/>
        </w:rPr>
      </w:pPr>
      <w:hyperlink w:anchor="_Toc71095520" w:history="1">
        <w:r w:rsidR="004638C3" w:rsidRPr="00B2282F">
          <w:rPr>
            <w:rStyle w:val="Hyperlink"/>
            <w:rtl/>
          </w:rPr>
          <w:t>5.3 تعقيبات المجتمع</w:t>
        </w:r>
        <w:r w:rsidR="004638C3">
          <w:rPr>
            <w:webHidden/>
          </w:rPr>
          <w:tab/>
        </w:r>
        <w:r w:rsidR="004638C3">
          <w:rPr>
            <w:webHidden/>
          </w:rPr>
          <w:fldChar w:fldCharType="begin"/>
        </w:r>
        <w:r w:rsidR="004638C3">
          <w:rPr>
            <w:webHidden/>
          </w:rPr>
          <w:instrText xml:space="preserve"> PAGEREF _Toc71095520 \h </w:instrText>
        </w:r>
        <w:r w:rsidR="004638C3">
          <w:rPr>
            <w:webHidden/>
          </w:rPr>
        </w:r>
        <w:r w:rsidR="004638C3">
          <w:rPr>
            <w:webHidden/>
          </w:rPr>
          <w:fldChar w:fldCharType="separate"/>
        </w:r>
        <w:r w:rsidR="004638C3">
          <w:rPr>
            <w:webHidden/>
          </w:rPr>
          <w:t>26</w:t>
        </w:r>
        <w:r w:rsidR="004638C3">
          <w:rPr>
            <w:webHidden/>
          </w:rPr>
          <w:fldChar w:fldCharType="end"/>
        </w:r>
      </w:hyperlink>
    </w:p>
    <w:p w14:paraId="30F3C3B9" w14:textId="0263F536" w:rsidR="004638C3" w:rsidRDefault="004C05EC">
      <w:pPr>
        <w:pStyle w:val="TOC2"/>
        <w:rPr>
          <w:rFonts w:asciiTheme="minorHAnsi" w:eastAsiaTheme="minorEastAsia" w:hAnsiTheme="minorHAnsi" w:cstheme="minorBidi"/>
          <w:sz w:val="22"/>
          <w:szCs w:val="22"/>
          <w:lang w:val="de-CH" w:eastAsia="de-CH" w:bidi="ar-SA"/>
        </w:rPr>
      </w:pPr>
      <w:hyperlink w:anchor="_Toc71095521" w:history="1">
        <w:r w:rsidR="004638C3" w:rsidRPr="00B2282F">
          <w:rPr>
            <w:rStyle w:val="Hyperlink"/>
            <w:rtl/>
          </w:rPr>
          <w:t>5.4 عملية صنع القرار وآثار السياسات</w:t>
        </w:r>
        <w:r w:rsidR="004638C3">
          <w:rPr>
            <w:webHidden/>
          </w:rPr>
          <w:tab/>
        </w:r>
        <w:r w:rsidR="004638C3">
          <w:rPr>
            <w:webHidden/>
          </w:rPr>
          <w:fldChar w:fldCharType="begin"/>
        </w:r>
        <w:r w:rsidR="004638C3">
          <w:rPr>
            <w:webHidden/>
          </w:rPr>
          <w:instrText xml:space="preserve"> PAGEREF _Toc71095521 \h </w:instrText>
        </w:r>
        <w:r w:rsidR="004638C3">
          <w:rPr>
            <w:webHidden/>
          </w:rPr>
        </w:r>
        <w:r w:rsidR="004638C3">
          <w:rPr>
            <w:webHidden/>
          </w:rPr>
          <w:fldChar w:fldCharType="separate"/>
        </w:r>
        <w:r w:rsidR="004638C3">
          <w:rPr>
            <w:webHidden/>
          </w:rPr>
          <w:t>27</w:t>
        </w:r>
        <w:r w:rsidR="004638C3">
          <w:rPr>
            <w:webHidden/>
          </w:rPr>
          <w:fldChar w:fldCharType="end"/>
        </w:r>
      </w:hyperlink>
    </w:p>
    <w:p w14:paraId="12A86375" w14:textId="4321F6F2" w:rsidR="004638C3" w:rsidRDefault="004C05EC">
      <w:pPr>
        <w:pStyle w:val="TOC1"/>
        <w:tabs>
          <w:tab w:val="left" w:pos="1320"/>
        </w:tabs>
        <w:rPr>
          <w:rFonts w:asciiTheme="minorHAnsi" w:eastAsiaTheme="minorEastAsia" w:hAnsiTheme="minorHAnsi" w:cstheme="minorBidi"/>
          <w:b w:val="0"/>
          <w:sz w:val="22"/>
          <w:szCs w:val="22"/>
          <w:lang w:val="de-CH" w:eastAsia="de-CH" w:bidi="ar-SA"/>
        </w:rPr>
      </w:pPr>
      <w:hyperlink w:anchor="_Toc71095522" w:history="1">
        <w:r w:rsidR="004638C3" w:rsidRPr="00B2282F">
          <w:rPr>
            <w:rStyle w:val="Hyperlink"/>
            <w:rtl/>
          </w:rPr>
          <w:t>6.</w:t>
        </w:r>
        <w:r w:rsidR="004638C3">
          <w:rPr>
            <w:rFonts w:asciiTheme="minorHAnsi" w:eastAsiaTheme="minorEastAsia" w:hAnsiTheme="minorHAnsi" w:cstheme="minorBidi"/>
            <w:b w:val="0"/>
            <w:sz w:val="22"/>
            <w:szCs w:val="22"/>
            <w:lang w:val="de-CH" w:eastAsia="de-CH" w:bidi="ar-SA"/>
          </w:rPr>
          <w:tab/>
        </w:r>
        <w:r w:rsidR="004638C3" w:rsidRPr="00B2282F">
          <w:rPr>
            <w:rStyle w:val="Hyperlink"/>
            <w:rtl/>
          </w:rPr>
          <w:t>جدول الدراسة</w:t>
        </w:r>
        <w:r w:rsidR="004638C3">
          <w:rPr>
            <w:webHidden/>
          </w:rPr>
          <w:tab/>
        </w:r>
        <w:r w:rsidR="004638C3">
          <w:rPr>
            <w:webHidden/>
          </w:rPr>
          <w:fldChar w:fldCharType="begin"/>
        </w:r>
        <w:r w:rsidR="004638C3">
          <w:rPr>
            <w:webHidden/>
          </w:rPr>
          <w:instrText xml:space="preserve"> PAGEREF _Toc71095522 \h </w:instrText>
        </w:r>
        <w:r w:rsidR="004638C3">
          <w:rPr>
            <w:webHidden/>
          </w:rPr>
        </w:r>
        <w:r w:rsidR="004638C3">
          <w:rPr>
            <w:webHidden/>
          </w:rPr>
          <w:fldChar w:fldCharType="separate"/>
        </w:r>
        <w:r w:rsidR="004638C3">
          <w:rPr>
            <w:webHidden/>
          </w:rPr>
          <w:t>28</w:t>
        </w:r>
        <w:r w:rsidR="004638C3">
          <w:rPr>
            <w:webHidden/>
          </w:rPr>
          <w:fldChar w:fldCharType="end"/>
        </w:r>
      </w:hyperlink>
    </w:p>
    <w:p w14:paraId="60FC2B69" w14:textId="0DFEF64A" w:rsidR="004638C3" w:rsidRDefault="004C05EC">
      <w:pPr>
        <w:pStyle w:val="TOC1"/>
        <w:tabs>
          <w:tab w:val="left" w:pos="1320"/>
        </w:tabs>
        <w:rPr>
          <w:rFonts w:asciiTheme="minorHAnsi" w:eastAsiaTheme="minorEastAsia" w:hAnsiTheme="minorHAnsi" w:cstheme="minorBidi"/>
          <w:b w:val="0"/>
          <w:sz w:val="22"/>
          <w:szCs w:val="22"/>
          <w:lang w:val="de-CH" w:eastAsia="de-CH" w:bidi="ar-SA"/>
        </w:rPr>
      </w:pPr>
      <w:hyperlink w:anchor="_Toc71095523" w:history="1">
        <w:r w:rsidR="004638C3" w:rsidRPr="00B2282F">
          <w:rPr>
            <w:rStyle w:val="Hyperlink"/>
            <w:rtl/>
          </w:rPr>
          <w:t>7.</w:t>
        </w:r>
        <w:r w:rsidR="004638C3">
          <w:rPr>
            <w:rFonts w:asciiTheme="minorHAnsi" w:eastAsiaTheme="minorEastAsia" w:hAnsiTheme="minorHAnsi" w:cstheme="minorBidi"/>
            <w:b w:val="0"/>
            <w:sz w:val="22"/>
            <w:szCs w:val="22"/>
            <w:lang w:val="de-CH" w:eastAsia="de-CH" w:bidi="ar-SA"/>
          </w:rPr>
          <w:tab/>
        </w:r>
        <w:r w:rsidR="004638C3" w:rsidRPr="00B2282F">
          <w:rPr>
            <w:rStyle w:val="Hyperlink"/>
            <w:rtl/>
          </w:rPr>
          <w:t>التمويل والدعم</w:t>
        </w:r>
        <w:r w:rsidR="004638C3">
          <w:rPr>
            <w:webHidden/>
          </w:rPr>
          <w:tab/>
        </w:r>
        <w:r w:rsidR="004638C3">
          <w:rPr>
            <w:webHidden/>
          </w:rPr>
          <w:fldChar w:fldCharType="begin"/>
        </w:r>
        <w:r w:rsidR="004638C3">
          <w:rPr>
            <w:webHidden/>
          </w:rPr>
          <w:instrText xml:space="preserve"> PAGEREF _Toc71095523 \h </w:instrText>
        </w:r>
        <w:r w:rsidR="004638C3">
          <w:rPr>
            <w:webHidden/>
          </w:rPr>
        </w:r>
        <w:r w:rsidR="004638C3">
          <w:rPr>
            <w:webHidden/>
          </w:rPr>
          <w:fldChar w:fldCharType="separate"/>
        </w:r>
        <w:r w:rsidR="004638C3">
          <w:rPr>
            <w:webHidden/>
          </w:rPr>
          <w:t>30</w:t>
        </w:r>
        <w:r w:rsidR="004638C3">
          <w:rPr>
            <w:webHidden/>
          </w:rPr>
          <w:fldChar w:fldCharType="end"/>
        </w:r>
      </w:hyperlink>
    </w:p>
    <w:p w14:paraId="451A45EB" w14:textId="57DFB3FB" w:rsidR="004638C3" w:rsidRDefault="004C05EC">
      <w:pPr>
        <w:pStyle w:val="TOC1"/>
        <w:rPr>
          <w:rFonts w:asciiTheme="minorHAnsi" w:eastAsiaTheme="minorEastAsia" w:hAnsiTheme="minorHAnsi" w:cstheme="minorBidi"/>
          <w:b w:val="0"/>
          <w:sz w:val="22"/>
          <w:szCs w:val="22"/>
          <w:lang w:val="de-CH" w:eastAsia="de-CH" w:bidi="ar-SA"/>
        </w:rPr>
      </w:pPr>
      <w:hyperlink w:anchor="_Toc71095524" w:history="1">
        <w:r w:rsidR="004638C3" w:rsidRPr="00B2282F">
          <w:rPr>
            <w:rStyle w:val="Hyperlink"/>
            <w:rtl/>
          </w:rPr>
          <w:t>المراجع</w:t>
        </w:r>
        <w:r w:rsidR="004638C3">
          <w:rPr>
            <w:webHidden/>
          </w:rPr>
          <w:tab/>
        </w:r>
        <w:r w:rsidR="004638C3">
          <w:rPr>
            <w:webHidden/>
          </w:rPr>
          <w:fldChar w:fldCharType="begin"/>
        </w:r>
        <w:r w:rsidR="004638C3">
          <w:rPr>
            <w:webHidden/>
          </w:rPr>
          <w:instrText xml:space="preserve"> PAGEREF _Toc71095524 \h </w:instrText>
        </w:r>
        <w:r w:rsidR="004638C3">
          <w:rPr>
            <w:webHidden/>
          </w:rPr>
        </w:r>
        <w:r w:rsidR="004638C3">
          <w:rPr>
            <w:webHidden/>
          </w:rPr>
          <w:fldChar w:fldCharType="separate"/>
        </w:r>
        <w:r w:rsidR="004638C3">
          <w:rPr>
            <w:webHidden/>
          </w:rPr>
          <w:t>31</w:t>
        </w:r>
        <w:r w:rsidR="004638C3">
          <w:rPr>
            <w:webHidden/>
          </w:rPr>
          <w:fldChar w:fldCharType="end"/>
        </w:r>
      </w:hyperlink>
    </w:p>
    <w:p w14:paraId="1BF91BFE" w14:textId="30601D39" w:rsidR="004638C3" w:rsidRDefault="004C05EC">
      <w:pPr>
        <w:pStyle w:val="TOC1"/>
        <w:rPr>
          <w:rFonts w:asciiTheme="minorHAnsi" w:eastAsiaTheme="minorEastAsia" w:hAnsiTheme="minorHAnsi" w:cstheme="minorBidi"/>
          <w:b w:val="0"/>
          <w:sz w:val="22"/>
          <w:szCs w:val="22"/>
          <w:lang w:val="de-CH" w:eastAsia="de-CH" w:bidi="ar-SA"/>
        </w:rPr>
      </w:pPr>
      <w:hyperlink w:anchor="_Toc71095525" w:history="1">
        <w:r w:rsidR="004638C3" w:rsidRPr="00B2282F">
          <w:rPr>
            <w:rStyle w:val="Hyperlink"/>
            <w:rtl/>
          </w:rPr>
          <w:t>الملحق أ. المادة 7 من اتفاقية ميناماتا: تعدين الذهب الحرفي والضيق النطاق</w:t>
        </w:r>
        <w:r w:rsidR="004638C3">
          <w:rPr>
            <w:webHidden/>
          </w:rPr>
          <w:tab/>
        </w:r>
        <w:r w:rsidR="004638C3">
          <w:rPr>
            <w:webHidden/>
          </w:rPr>
          <w:fldChar w:fldCharType="begin"/>
        </w:r>
        <w:r w:rsidR="004638C3">
          <w:rPr>
            <w:webHidden/>
          </w:rPr>
          <w:instrText xml:space="preserve"> PAGEREF _Toc71095525 \h </w:instrText>
        </w:r>
        <w:r w:rsidR="004638C3">
          <w:rPr>
            <w:webHidden/>
          </w:rPr>
        </w:r>
        <w:r w:rsidR="004638C3">
          <w:rPr>
            <w:webHidden/>
          </w:rPr>
          <w:fldChar w:fldCharType="separate"/>
        </w:r>
        <w:r w:rsidR="004638C3">
          <w:rPr>
            <w:webHidden/>
          </w:rPr>
          <w:t>33</w:t>
        </w:r>
        <w:r w:rsidR="004638C3">
          <w:rPr>
            <w:webHidden/>
          </w:rPr>
          <w:fldChar w:fldCharType="end"/>
        </w:r>
      </w:hyperlink>
    </w:p>
    <w:p w14:paraId="3EB3AE06" w14:textId="1FBC0751" w:rsidR="004638C3" w:rsidRDefault="004C05EC">
      <w:pPr>
        <w:pStyle w:val="TOC1"/>
        <w:rPr>
          <w:rFonts w:asciiTheme="minorHAnsi" w:eastAsiaTheme="minorEastAsia" w:hAnsiTheme="minorHAnsi" w:cstheme="minorBidi"/>
          <w:b w:val="0"/>
          <w:sz w:val="22"/>
          <w:szCs w:val="22"/>
          <w:lang w:val="de-CH" w:eastAsia="de-CH" w:bidi="ar-SA"/>
        </w:rPr>
      </w:pPr>
      <w:hyperlink w:anchor="_Toc71095526" w:history="1">
        <w:r w:rsidR="004638C3" w:rsidRPr="00B2282F">
          <w:rPr>
            <w:rStyle w:val="Hyperlink"/>
            <w:rtl/>
          </w:rPr>
          <w:t>الملحق ب. الملحق "ج" من اتفاقية ميناماتا: خطط العمل الوطنية</w:t>
        </w:r>
        <w:r w:rsidR="004638C3">
          <w:rPr>
            <w:webHidden/>
          </w:rPr>
          <w:tab/>
        </w:r>
        <w:r w:rsidR="004638C3">
          <w:rPr>
            <w:webHidden/>
          </w:rPr>
          <w:fldChar w:fldCharType="begin"/>
        </w:r>
        <w:r w:rsidR="004638C3">
          <w:rPr>
            <w:webHidden/>
          </w:rPr>
          <w:instrText xml:space="preserve"> PAGEREF _Toc71095526 \h </w:instrText>
        </w:r>
        <w:r w:rsidR="004638C3">
          <w:rPr>
            <w:webHidden/>
          </w:rPr>
        </w:r>
        <w:r w:rsidR="004638C3">
          <w:rPr>
            <w:webHidden/>
          </w:rPr>
          <w:fldChar w:fldCharType="separate"/>
        </w:r>
        <w:r w:rsidR="004638C3">
          <w:rPr>
            <w:webHidden/>
          </w:rPr>
          <w:t>34</w:t>
        </w:r>
        <w:r w:rsidR="004638C3">
          <w:rPr>
            <w:webHidden/>
          </w:rPr>
          <w:fldChar w:fldCharType="end"/>
        </w:r>
      </w:hyperlink>
    </w:p>
    <w:p w14:paraId="0E27F25A" w14:textId="41CF696A" w:rsidR="004638C3" w:rsidRDefault="004C05EC">
      <w:pPr>
        <w:pStyle w:val="TOC1"/>
        <w:rPr>
          <w:rFonts w:asciiTheme="minorHAnsi" w:eastAsiaTheme="minorEastAsia" w:hAnsiTheme="minorHAnsi" w:cstheme="minorBidi"/>
          <w:b w:val="0"/>
          <w:sz w:val="22"/>
          <w:szCs w:val="22"/>
          <w:lang w:val="de-CH" w:eastAsia="de-CH" w:bidi="ar-SA"/>
        </w:rPr>
      </w:pPr>
      <w:hyperlink w:anchor="_Toc71095527" w:history="1">
        <w:r w:rsidR="004638C3" w:rsidRPr="00B2282F">
          <w:rPr>
            <w:rStyle w:val="Hyperlink"/>
            <w:rtl/>
          </w:rPr>
          <w:t>الملحق ج. دليل الملحقات</w:t>
        </w:r>
        <w:r w:rsidR="004638C3">
          <w:rPr>
            <w:webHidden/>
          </w:rPr>
          <w:tab/>
        </w:r>
        <w:r w:rsidR="004638C3">
          <w:rPr>
            <w:webHidden/>
          </w:rPr>
          <w:fldChar w:fldCharType="begin"/>
        </w:r>
        <w:r w:rsidR="004638C3">
          <w:rPr>
            <w:webHidden/>
          </w:rPr>
          <w:instrText xml:space="preserve"> PAGEREF _Toc71095527 \h </w:instrText>
        </w:r>
        <w:r w:rsidR="004638C3">
          <w:rPr>
            <w:webHidden/>
          </w:rPr>
        </w:r>
        <w:r w:rsidR="004638C3">
          <w:rPr>
            <w:webHidden/>
          </w:rPr>
          <w:fldChar w:fldCharType="separate"/>
        </w:r>
        <w:r w:rsidR="004638C3">
          <w:rPr>
            <w:webHidden/>
          </w:rPr>
          <w:t>34</w:t>
        </w:r>
        <w:r w:rsidR="004638C3">
          <w:rPr>
            <w:webHidden/>
          </w:rPr>
          <w:fldChar w:fldCharType="end"/>
        </w:r>
      </w:hyperlink>
    </w:p>
    <w:p w14:paraId="08B98155" w14:textId="7F33AE37" w:rsidR="00861493" w:rsidRDefault="004638C3" w:rsidP="00BA34B7">
      <w:pPr>
        <w:bidi/>
        <w:rPr>
          <w:rtl/>
        </w:rPr>
      </w:pPr>
      <w:r>
        <w:rPr>
          <w:rtl/>
        </w:rPr>
        <w:fldChar w:fldCharType="end"/>
      </w:r>
    </w:p>
    <w:p w14:paraId="40D22D87" w14:textId="77777777" w:rsidR="004638C3" w:rsidRPr="00E63DCC" w:rsidRDefault="004638C3" w:rsidP="004638C3">
      <w:pPr>
        <w:bidi/>
        <w:rPr>
          <w:rtl/>
        </w:rPr>
      </w:pPr>
    </w:p>
    <w:p w14:paraId="21084A2E" w14:textId="77777777" w:rsidR="00482197" w:rsidRPr="00482197" w:rsidRDefault="00E25FA8" w:rsidP="00BA34B7">
      <w:pPr>
        <w:pStyle w:val="Normalboldhead"/>
        <w:bidi/>
        <w:rPr>
          <w:b w:val="0"/>
          <w:bCs/>
          <w:noProof/>
        </w:rPr>
      </w:pPr>
      <w:r w:rsidRPr="00482197">
        <w:rPr>
          <w:rFonts w:hint="cs"/>
          <w:b w:val="0"/>
          <w:bCs/>
          <w:rtl/>
        </w:rPr>
        <w:t>الأشكال</w:t>
      </w:r>
      <w:r w:rsidR="00DA0F5E" w:rsidRPr="00E63DCC">
        <w:rPr>
          <w:b w:val="0"/>
          <w:bCs/>
        </w:rPr>
        <w:fldChar w:fldCharType="begin"/>
      </w:r>
      <w:r w:rsidRPr="00482197">
        <w:rPr>
          <w:b w:val="0"/>
          <w:bCs/>
          <w:rtl/>
        </w:rPr>
        <w:instrText xml:space="preserve"> </w:instrText>
      </w:r>
      <w:r w:rsidR="00DA0F5E" w:rsidRPr="00482197">
        <w:rPr>
          <w:b w:val="0"/>
          <w:bCs/>
        </w:rPr>
        <w:instrText xml:space="preserve">TOC \t "Figure head" \c </w:instrText>
      </w:r>
      <w:r w:rsidR="00DA0F5E" w:rsidRPr="00E63DCC">
        <w:rPr>
          <w:b w:val="0"/>
          <w:bCs/>
        </w:rPr>
        <w:fldChar w:fldCharType="separate"/>
      </w:r>
    </w:p>
    <w:p w14:paraId="561279E3" w14:textId="497EC705" w:rsidR="00482197" w:rsidRDefault="00482197" w:rsidP="00575591">
      <w:pPr>
        <w:pStyle w:val="TableofFigures"/>
        <w:tabs>
          <w:tab w:val="right" w:leader="dot" w:pos="9016"/>
        </w:tabs>
        <w:bidi/>
        <w:rPr>
          <w:rFonts w:asciiTheme="minorHAnsi" w:eastAsiaTheme="minorEastAsia" w:hAnsiTheme="minorHAnsi" w:cstheme="minorBidi"/>
          <w:noProof/>
          <w:sz w:val="22"/>
          <w:lang w:val="nl-BE" w:eastAsia="nl-BE" w:bidi="ar-SA"/>
        </w:rPr>
      </w:pPr>
      <w:r>
        <w:rPr>
          <w:noProof/>
          <w:rtl/>
        </w:rPr>
        <w:t xml:space="preserve">الشكل </w:t>
      </w:r>
      <w:r>
        <w:rPr>
          <w:noProof/>
        </w:rPr>
        <w:t>1</w:t>
      </w:r>
      <w:r>
        <w:rPr>
          <w:noProof/>
          <w:rtl/>
        </w:rPr>
        <w:t>.</w:t>
      </w:r>
      <w:r>
        <w:rPr>
          <w:noProof/>
        </w:rPr>
        <w:t xml:space="preserve"> </w:t>
      </w:r>
      <w:r>
        <w:rPr>
          <w:noProof/>
          <w:rtl/>
        </w:rPr>
        <w:t>الفحص المنهجي</w:t>
      </w:r>
      <w:r>
        <w:rPr>
          <w:noProof/>
        </w:rPr>
        <w:tab/>
      </w:r>
      <w:r>
        <w:rPr>
          <w:noProof/>
        </w:rPr>
        <w:fldChar w:fldCharType="begin"/>
      </w:r>
      <w:r>
        <w:rPr>
          <w:noProof/>
        </w:rPr>
        <w:instrText xml:space="preserve"> PAGEREF _Toc66796461 \h </w:instrText>
      </w:r>
      <w:r>
        <w:rPr>
          <w:noProof/>
        </w:rPr>
      </w:r>
      <w:r>
        <w:rPr>
          <w:noProof/>
        </w:rPr>
        <w:fldChar w:fldCharType="separate"/>
      </w:r>
      <w:r>
        <w:rPr>
          <w:noProof/>
        </w:rPr>
        <w:t>11</w:t>
      </w:r>
      <w:r>
        <w:rPr>
          <w:noProof/>
        </w:rPr>
        <w:fldChar w:fldCharType="end"/>
      </w:r>
    </w:p>
    <w:p w14:paraId="4FA352D3" w14:textId="6D93C30C" w:rsidR="00861493" w:rsidRPr="00E63DCC" w:rsidRDefault="00DA0F5E" w:rsidP="00BA34B7">
      <w:pPr>
        <w:pStyle w:val="Normalboldhead"/>
        <w:bidi/>
        <w:rPr>
          <w:rtl/>
        </w:rPr>
      </w:pPr>
      <w:r w:rsidRPr="00E63DCC">
        <w:fldChar w:fldCharType="end"/>
      </w:r>
    </w:p>
    <w:p w14:paraId="6F90B52D" w14:textId="77777777" w:rsidR="00B973D8" w:rsidRPr="00E63DCC" w:rsidRDefault="00B973D8" w:rsidP="00A5640C">
      <w:pPr>
        <w:bidi/>
        <w:rPr>
          <w:kern w:val="32"/>
          <w:sz w:val="28"/>
          <w:szCs w:val="28"/>
          <w:rtl/>
        </w:rPr>
      </w:pPr>
      <w:r>
        <w:rPr>
          <w:rFonts w:hint="cs"/>
          <w:rtl/>
        </w:rPr>
        <w:br w:type="page"/>
      </w:r>
    </w:p>
    <w:p w14:paraId="1D837CEE" w14:textId="77777777" w:rsidR="00EF3A02" w:rsidRPr="00E63DCC" w:rsidRDefault="00EF3A02" w:rsidP="00A5640C">
      <w:pPr>
        <w:pStyle w:val="Heading1"/>
        <w:bidi/>
        <w:ind w:left="709" w:hanging="709"/>
        <w:rPr>
          <w:rtl/>
        </w:rPr>
      </w:pPr>
      <w:bookmarkStart w:id="2" w:name="_Toc283557221"/>
      <w:bookmarkStart w:id="3" w:name="_Toc67301042"/>
      <w:bookmarkStart w:id="4" w:name="_Toc71095486"/>
      <w:r>
        <w:rPr>
          <w:rFonts w:hint="cs"/>
          <w:rtl/>
        </w:rPr>
        <w:lastRenderedPageBreak/>
        <w:t>الاختصارات</w:t>
      </w:r>
      <w:bookmarkEnd w:id="2"/>
      <w:bookmarkEnd w:id="3"/>
      <w:bookmarkEnd w:id="4"/>
    </w:p>
    <w:p w14:paraId="6B11FB66" w14:textId="77777777" w:rsidR="006703F4" w:rsidRPr="00E63DCC" w:rsidRDefault="006703F4" w:rsidP="006703F4">
      <w:pPr>
        <w:pStyle w:val="SGabbrevs"/>
        <w:bidi/>
        <w:rPr>
          <w:rtl/>
        </w:rPr>
      </w:pPr>
      <w:r>
        <w:t>ASGM</w:t>
      </w:r>
      <w:r>
        <w:rPr>
          <w:rFonts w:hint="cs"/>
          <w:rtl/>
        </w:rPr>
        <w:tab/>
        <w:t>تعدين الذهب الحرفي والمحدود النطاق</w:t>
      </w:r>
    </w:p>
    <w:p w14:paraId="2BE66F31" w14:textId="77777777" w:rsidR="006703F4" w:rsidRPr="00E63DCC" w:rsidRDefault="006703F4" w:rsidP="006703F4">
      <w:pPr>
        <w:pStyle w:val="SGabbrevs"/>
        <w:bidi/>
        <w:rPr>
          <w:rtl/>
        </w:rPr>
      </w:pPr>
      <w:r>
        <w:t>CIOMS</w:t>
      </w:r>
      <w:r>
        <w:rPr>
          <w:rFonts w:hint="cs"/>
          <w:rtl/>
        </w:rPr>
        <w:tab/>
        <w:t>مجلس منظمات العلوم الطبية الدولية</w:t>
      </w:r>
    </w:p>
    <w:p w14:paraId="42447D72" w14:textId="77777777" w:rsidR="006703F4" w:rsidRPr="00E63DCC" w:rsidRDefault="006703F4" w:rsidP="006703F4">
      <w:pPr>
        <w:pStyle w:val="SGabbrevs"/>
        <w:bidi/>
        <w:rPr>
          <w:rtl/>
        </w:rPr>
      </w:pPr>
      <w:r>
        <w:t>FGD</w:t>
      </w:r>
      <w:r>
        <w:rPr>
          <w:rFonts w:hint="cs"/>
          <w:rtl/>
        </w:rPr>
        <w:tab/>
        <w:t>مناقشة مجموعة التركيز</w:t>
      </w:r>
    </w:p>
    <w:p w14:paraId="588D65AA" w14:textId="77777777" w:rsidR="006703F4" w:rsidRPr="00E63DCC" w:rsidRDefault="006703F4" w:rsidP="006703F4">
      <w:pPr>
        <w:pStyle w:val="SGabbrevs"/>
        <w:bidi/>
        <w:rPr>
          <w:rtl/>
        </w:rPr>
      </w:pPr>
      <w:r>
        <w:t>HFA</w:t>
      </w:r>
      <w:r>
        <w:rPr>
          <w:rFonts w:hint="cs"/>
          <w:rtl/>
        </w:rPr>
        <w:tab/>
        <w:t>تقييم المنشأة الصحية</w:t>
      </w:r>
    </w:p>
    <w:p w14:paraId="43821023" w14:textId="77777777" w:rsidR="006703F4" w:rsidRPr="00E63DCC" w:rsidRDefault="006703F4" w:rsidP="006703F4">
      <w:pPr>
        <w:pStyle w:val="SGabbrevs"/>
        <w:bidi/>
        <w:rPr>
          <w:rtl/>
        </w:rPr>
      </w:pPr>
      <w:r>
        <w:t>KII</w:t>
      </w:r>
      <w:r>
        <w:rPr>
          <w:rFonts w:hint="cs"/>
          <w:rtl/>
        </w:rPr>
        <w:tab/>
        <w:t>مقابلة المبلغ الرئيسي</w:t>
      </w:r>
    </w:p>
    <w:p w14:paraId="6FB1DF56" w14:textId="77777777" w:rsidR="006703F4" w:rsidRPr="00E63DCC" w:rsidRDefault="006703F4" w:rsidP="006703F4">
      <w:pPr>
        <w:pStyle w:val="SGabbrevs"/>
        <w:bidi/>
        <w:rPr>
          <w:rtl/>
        </w:rPr>
      </w:pPr>
      <w:r>
        <w:t>NAP</w:t>
      </w:r>
      <w:r>
        <w:rPr>
          <w:rFonts w:hint="cs"/>
          <w:rtl/>
        </w:rPr>
        <w:tab/>
        <w:t>خطة العمل الوطنية</w:t>
      </w:r>
    </w:p>
    <w:p w14:paraId="15D1D12B" w14:textId="77777777" w:rsidR="006703F4" w:rsidRPr="00E63DCC" w:rsidRDefault="006703F4" w:rsidP="006703F4">
      <w:pPr>
        <w:pStyle w:val="SGabbrevs"/>
        <w:bidi/>
        <w:rPr>
          <w:rtl/>
        </w:rPr>
      </w:pPr>
      <w:r>
        <w:t>NGO</w:t>
      </w:r>
      <w:r>
        <w:rPr>
          <w:rFonts w:hint="cs"/>
          <w:rtl/>
        </w:rPr>
        <w:tab/>
        <w:t>منظمة غير حكومية</w:t>
      </w:r>
    </w:p>
    <w:p w14:paraId="2D5219E4" w14:textId="77777777" w:rsidR="006703F4" w:rsidRPr="00E63DCC" w:rsidRDefault="006703F4" w:rsidP="006703F4">
      <w:pPr>
        <w:pStyle w:val="SGabbrevs"/>
        <w:bidi/>
        <w:rPr>
          <w:rtl/>
        </w:rPr>
      </w:pPr>
      <w:r>
        <w:t>UNEP</w:t>
      </w:r>
      <w:r>
        <w:rPr>
          <w:rFonts w:hint="cs"/>
          <w:rtl/>
        </w:rPr>
        <w:tab/>
        <w:t>برنامج الأمم المتحدة للبيئة</w:t>
      </w:r>
    </w:p>
    <w:p w14:paraId="41B80D4E" w14:textId="77777777" w:rsidR="006703F4" w:rsidRPr="00E63DCC" w:rsidRDefault="006703F4" w:rsidP="006703F4">
      <w:pPr>
        <w:pStyle w:val="SGabbrevs"/>
        <w:bidi/>
        <w:rPr>
          <w:rtl/>
        </w:rPr>
      </w:pPr>
      <w:r>
        <w:t>UNIDO</w:t>
      </w:r>
      <w:r>
        <w:rPr>
          <w:rFonts w:hint="cs"/>
          <w:rtl/>
        </w:rPr>
        <w:tab/>
        <w:t>منظمة الأمم المتحدة للتنمية الصناعية</w:t>
      </w:r>
    </w:p>
    <w:p w14:paraId="4CE33C22" w14:textId="77777777" w:rsidR="006703F4" w:rsidRPr="00E63DCC" w:rsidRDefault="006703F4" w:rsidP="006703F4">
      <w:pPr>
        <w:pStyle w:val="SGabbrevs"/>
        <w:bidi/>
        <w:rPr>
          <w:rtl/>
        </w:rPr>
      </w:pPr>
      <w:r>
        <w:t>WHO</w:t>
      </w:r>
      <w:r>
        <w:rPr>
          <w:rFonts w:hint="cs"/>
          <w:rtl/>
        </w:rPr>
        <w:tab/>
        <w:t>منظمة الصحة العالمية</w:t>
      </w:r>
    </w:p>
    <w:p w14:paraId="2AE565E8" w14:textId="77777777" w:rsidR="005D72F7" w:rsidRPr="00E63DCC" w:rsidRDefault="005D72F7" w:rsidP="00A5640C">
      <w:pPr>
        <w:rPr>
          <w:lang w:val="en-GB"/>
        </w:rPr>
      </w:pPr>
    </w:p>
    <w:p w14:paraId="3D834A53" w14:textId="77777777" w:rsidR="00EF3A02" w:rsidRPr="00E63DCC" w:rsidRDefault="00EF3A02" w:rsidP="00A5640C">
      <w:pPr>
        <w:bidi/>
        <w:rPr>
          <w:rtl/>
        </w:rPr>
      </w:pPr>
      <w:r>
        <w:rPr>
          <w:rFonts w:hint="cs"/>
          <w:rtl/>
        </w:rPr>
        <w:br w:type="page"/>
      </w:r>
    </w:p>
    <w:p w14:paraId="70C73235" w14:textId="77777777" w:rsidR="00A62394" w:rsidRPr="00E63DCC" w:rsidRDefault="00FD7BCA" w:rsidP="00A5640C">
      <w:pPr>
        <w:pStyle w:val="Heading1"/>
        <w:bidi/>
        <w:ind w:left="709" w:hanging="709"/>
        <w:rPr>
          <w:rtl/>
        </w:rPr>
      </w:pPr>
      <w:bookmarkStart w:id="5" w:name="_Toc245371476"/>
      <w:bookmarkStart w:id="6" w:name="_Toc283557223"/>
      <w:bookmarkStart w:id="7" w:name="_Toc67301043"/>
      <w:bookmarkStart w:id="8" w:name="_Toc71095487"/>
      <w:bookmarkStart w:id="9" w:name="_Toc283557222"/>
      <w:r>
        <w:rPr>
          <w:rFonts w:hint="cs"/>
          <w:rtl/>
        </w:rPr>
        <w:lastRenderedPageBreak/>
        <w:t>فريق الدراسة والهيكل الإداري</w:t>
      </w:r>
      <w:bookmarkEnd w:id="5"/>
      <w:bookmarkEnd w:id="6"/>
      <w:bookmarkEnd w:id="7"/>
      <w:bookmarkEnd w:id="8"/>
    </w:p>
    <w:tbl>
      <w:tblPr>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15"/>
        <w:gridCol w:w="4501"/>
      </w:tblGrid>
      <w:tr w:rsidR="00A62394" w:rsidRPr="00E63DCC" w14:paraId="299C2079" w14:textId="77777777" w:rsidTr="000F7CFC">
        <w:tc>
          <w:tcPr>
            <w:tcW w:w="4628" w:type="dxa"/>
            <w:shd w:val="clear" w:color="auto" w:fill="auto"/>
            <w:vAlign w:val="center"/>
          </w:tcPr>
          <w:p w14:paraId="608A6842" w14:textId="51AEB58D" w:rsidR="00A62394" w:rsidRPr="00E63DCC" w:rsidRDefault="0010675A" w:rsidP="00C13ECC">
            <w:pPr>
              <w:bidi/>
              <w:rPr>
                <w:szCs w:val="24"/>
                <w:rtl/>
              </w:rPr>
            </w:pPr>
            <w:r>
              <w:rPr>
                <w:rFonts w:hint="cs"/>
                <w:rtl/>
              </w:rPr>
              <w:t>الباحث الرئيسي، رئيس التقييم الصحي، الخبير التقني</w:t>
            </w:r>
          </w:p>
        </w:tc>
        <w:tc>
          <w:tcPr>
            <w:tcW w:w="4614" w:type="dxa"/>
            <w:shd w:val="clear" w:color="auto" w:fill="auto"/>
          </w:tcPr>
          <w:p w14:paraId="7F255A02" w14:textId="61B9809E" w:rsidR="00A44FCA" w:rsidRPr="00E63DCC" w:rsidRDefault="00A44FCA" w:rsidP="00C13ECC">
            <w:pPr>
              <w:bidi/>
              <w:rPr>
                <w:szCs w:val="24"/>
                <w:rtl/>
              </w:rPr>
            </w:pPr>
            <w:r>
              <w:rPr>
                <w:rFonts w:hint="cs"/>
                <w:rtl/>
              </w:rPr>
              <w:t>[الاسم]</w:t>
            </w:r>
          </w:p>
          <w:p w14:paraId="2E4509F7" w14:textId="1B168EAB" w:rsidR="00A62394" w:rsidRPr="00E63DCC" w:rsidRDefault="00A44FCA" w:rsidP="00C13ECC">
            <w:pPr>
              <w:bidi/>
              <w:rPr>
                <w:szCs w:val="24"/>
                <w:rtl/>
              </w:rPr>
            </w:pPr>
            <w:r>
              <w:rPr>
                <w:rFonts w:hint="cs"/>
                <w:rtl/>
              </w:rPr>
              <w:t>[المنظمة أو المؤسسة (بما في ذلك العنوان) وتفاصيل الاتصال (البريد الإلكتروني ورقم الهاتف) لكل عضو في الفريق]</w:t>
            </w:r>
          </w:p>
        </w:tc>
      </w:tr>
      <w:tr w:rsidR="00A62394" w:rsidRPr="00E63DCC" w14:paraId="3B8D63D6" w14:textId="77777777" w:rsidTr="000F7CFC">
        <w:trPr>
          <w:trHeight w:val="680"/>
        </w:trPr>
        <w:tc>
          <w:tcPr>
            <w:tcW w:w="4628" w:type="dxa"/>
            <w:shd w:val="clear" w:color="auto" w:fill="auto"/>
            <w:vAlign w:val="center"/>
          </w:tcPr>
          <w:p w14:paraId="65969054" w14:textId="454CDB41" w:rsidR="005131CE" w:rsidRPr="00E63DCC" w:rsidRDefault="000256A1" w:rsidP="000F7CFC">
            <w:pPr>
              <w:bidi/>
              <w:spacing w:line="240" w:lineRule="auto"/>
              <w:rPr>
                <w:szCs w:val="24"/>
                <w:rtl/>
              </w:rPr>
            </w:pPr>
            <w:r>
              <w:rPr>
                <w:rFonts w:hint="cs"/>
                <w:rtl/>
              </w:rPr>
              <w:t>الباحث المشارك، الخبير التقني</w:t>
            </w:r>
          </w:p>
        </w:tc>
        <w:tc>
          <w:tcPr>
            <w:tcW w:w="4614" w:type="dxa"/>
            <w:shd w:val="clear" w:color="auto" w:fill="auto"/>
            <w:vAlign w:val="center"/>
          </w:tcPr>
          <w:p w14:paraId="67B8E746" w14:textId="77777777" w:rsidR="00FD7BCA" w:rsidRPr="00E63DCC" w:rsidRDefault="00FD7BCA" w:rsidP="000F7CFC">
            <w:pPr>
              <w:spacing w:line="240" w:lineRule="auto"/>
              <w:rPr>
                <w:szCs w:val="24"/>
                <w:lang w:val="en-GB"/>
              </w:rPr>
            </w:pPr>
          </w:p>
        </w:tc>
      </w:tr>
      <w:tr w:rsidR="00FD067F" w:rsidRPr="00E63DCC" w14:paraId="1CACDF31" w14:textId="77777777" w:rsidTr="000F7CFC">
        <w:trPr>
          <w:trHeight w:val="680"/>
        </w:trPr>
        <w:tc>
          <w:tcPr>
            <w:tcW w:w="4628" w:type="dxa"/>
            <w:shd w:val="clear" w:color="auto" w:fill="auto"/>
            <w:vAlign w:val="center"/>
          </w:tcPr>
          <w:p w14:paraId="3A3BE8CD" w14:textId="77777777" w:rsidR="00FD067F" w:rsidRPr="00E63DCC" w:rsidRDefault="00FD067F" w:rsidP="000F7CFC">
            <w:pPr>
              <w:bidi/>
              <w:spacing w:line="240" w:lineRule="auto"/>
              <w:rPr>
                <w:szCs w:val="24"/>
                <w:rtl/>
              </w:rPr>
            </w:pPr>
            <w:r>
              <w:rPr>
                <w:rFonts w:hint="cs"/>
                <w:rtl/>
              </w:rPr>
              <w:t>الباحث المحلي</w:t>
            </w:r>
          </w:p>
        </w:tc>
        <w:tc>
          <w:tcPr>
            <w:tcW w:w="4614" w:type="dxa"/>
            <w:shd w:val="clear" w:color="auto" w:fill="auto"/>
            <w:vAlign w:val="center"/>
          </w:tcPr>
          <w:p w14:paraId="4D2EEFA8" w14:textId="77777777" w:rsidR="00BF5831" w:rsidRPr="00E63DCC" w:rsidRDefault="00BF5831" w:rsidP="000F7CFC">
            <w:pPr>
              <w:spacing w:line="240" w:lineRule="auto"/>
              <w:rPr>
                <w:b/>
                <w:szCs w:val="24"/>
                <w:lang w:val="en-GB"/>
              </w:rPr>
            </w:pPr>
          </w:p>
        </w:tc>
      </w:tr>
      <w:tr w:rsidR="00C13ECC" w:rsidRPr="00E63DCC" w14:paraId="25169D1F" w14:textId="77777777" w:rsidTr="000F7CFC">
        <w:trPr>
          <w:trHeight w:val="680"/>
        </w:trPr>
        <w:tc>
          <w:tcPr>
            <w:tcW w:w="4628" w:type="dxa"/>
            <w:shd w:val="clear" w:color="auto" w:fill="auto"/>
            <w:vAlign w:val="center"/>
          </w:tcPr>
          <w:p w14:paraId="26FD6A9D" w14:textId="0A8ACF1B" w:rsidR="00C13ECC" w:rsidRPr="00E63DCC" w:rsidRDefault="00C13ECC" w:rsidP="000F7CFC">
            <w:pPr>
              <w:bidi/>
              <w:spacing w:line="240" w:lineRule="auto"/>
              <w:rPr>
                <w:szCs w:val="24"/>
                <w:rtl/>
              </w:rPr>
            </w:pPr>
            <w:r>
              <w:rPr>
                <w:rFonts w:hint="cs"/>
                <w:rtl/>
              </w:rPr>
              <w:t>المستشار الفني</w:t>
            </w:r>
          </w:p>
        </w:tc>
        <w:tc>
          <w:tcPr>
            <w:tcW w:w="4614" w:type="dxa"/>
            <w:shd w:val="clear" w:color="auto" w:fill="auto"/>
            <w:vAlign w:val="center"/>
          </w:tcPr>
          <w:p w14:paraId="62EFD04A" w14:textId="77777777" w:rsidR="00C13ECC" w:rsidRPr="00E63DCC" w:rsidRDefault="00C13ECC" w:rsidP="000F7CFC">
            <w:pPr>
              <w:spacing w:line="240" w:lineRule="auto"/>
              <w:rPr>
                <w:b/>
                <w:szCs w:val="24"/>
                <w:lang w:val="en-GB"/>
              </w:rPr>
            </w:pPr>
          </w:p>
        </w:tc>
      </w:tr>
      <w:tr w:rsidR="00C13ECC" w:rsidRPr="00E63DCC" w14:paraId="1AA73C57" w14:textId="77777777" w:rsidTr="000F7CFC">
        <w:trPr>
          <w:trHeight w:val="680"/>
        </w:trPr>
        <w:tc>
          <w:tcPr>
            <w:tcW w:w="4628" w:type="dxa"/>
            <w:shd w:val="clear" w:color="auto" w:fill="auto"/>
            <w:vAlign w:val="center"/>
          </w:tcPr>
          <w:p w14:paraId="51A56CF3" w14:textId="1E6816EE" w:rsidR="00C13ECC" w:rsidRPr="00E63DCC" w:rsidRDefault="00C13ECC" w:rsidP="000F7CFC">
            <w:pPr>
              <w:bidi/>
              <w:spacing w:line="240" w:lineRule="auto"/>
              <w:rPr>
                <w:rFonts w:cs="Arial"/>
                <w:szCs w:val="24"/>
                <w:rtl/>
              </w:rPr>
            </w:pPr>
            <w:r>
              <w:rPr>
                <w:rFonts w:hint="cs"/>
                <w:rtl/>
              </w:rPr>
              <w:t>مساعد الدعم، وكالات الأمم المتحدة</w:t>
            </w:r>
          </w:p>
        </w:tc>
        <w:tc>
          <w:tcPr>
            <w:tcW w:w="4614" w:type="dxa"/>
            <w:shd w:val="clear" w:color="auto" w:fill="auto"/>
            <w:vAlign w:val="center"/>
          </w:tcPr>
          <w:p w14:paraId="5251794C" w14:textId="77777777" w:rsidR="00C13ECC" w:rsidRPr="00E63DCC" w:rsidRDefault="00C13ECC" w:rsidP="000F7CFC">
            <w:pPr>
              <w:spacing w:line="240" w:lineRule="auto"/>
              <w:rPr>
                <w:b/>
                <w:szCs w:val="24"/>
                <w:lang w:val="en-GB"/>
              </w:rPr>
            </w:pPr>
          </w:p>
        </w:tc>
      </w:tr>
      <w:tr w:rsidR="00C13ECC" w:rsidRPr="00E63DCC" w14:paraId="1FDB1E0E" w14:textId="77777777" w:rsidTr="000F7CFC">
        <w:trPr>
          <w:trHeight w:val="680"/>
        </w:trPr>
        <w:tc>
          <w:tcPr>
            <w:tcW w:w="4628" w:type="dxa"/>
            <w:shd w:val="clear" w:color="auto" w:fill="auto"/>
            <w:vAlign w:val="center"/>
          </w:tcPr>
          <w:p w14:paraId="053994A8" w14:textId="4AFAFE32" w:rsidR="00C13ECC" w:rsidRPr="00E63DCC" w:rsidRDefault="00C13ECC" w:rsidP="000F7CFC">
            <w:pPr>
              <w:bidi/>
              <w:spacing w:line="240" w:lineRule="auto"/>
              <w:rPr>
                <w:rFonts w:cs="Arial"/>
                <w:szCs w:val="24"/>
                <w:rtl/>
              </w:rPr>
            </w:pPr>
            <w:r>
              <w:rPr>
                <w:rFonts w:hint="cs"/>
                <w:rtl/>
              </w:rPr>
              <w:t>مسؤول التعبئة الاجتماعية الأول</w:t>
            </w:r>
          </w:p>
        </w:tc>
        <w:tc>
          <w:tcPr>
            <w:tcW w:w="4614" w:type="dxa"/>
            <w:shd w:val="clear" w:color="auto" w:fill="auto"/>
            <w:vAlign w:val="center"/>
          </w:tcPr>
          <w:p w14:paraId="0D08A629" w14:textId="77777777" w:rsidR="00C13ECC" w:rsidRPr="00E63DCC" w:rsidRDefault="00C13ECC" w:rsidP="000F7CFC">
            <w:pPr>
              <w:spacing w:line="240" w:lineRule="auto"/>
              <w:rPr>
                <w:b/>
                <w:szCs w:val="24"/>
                <w:lang w:val="en-GB"/>
              </w:rPr>
            </w:pPr>
          </w:p>
        </w:tc>
      </w:tr>
      <w:tr w:rsidR="00C13ECC" w:rsidRPr="00E63DCC" w14:paraId="36B53D21" w14:textId="77777777" w:rsidTr="000F7CFC">
        <w:trPr>
          <w:trHeight w:val="680"/>
        </w:trPr>
        <w:tc>
          <w:tcPr>
            <w:tcW w:w="4628" w:type="dxa"/>
            <w:shd w:val="clear" w:color="auto" w:fill="auto"/>
            <w:vAlign w:val="center"/>
          </w:tcPr>
          <w:p w14:paraId="3C81DB5E" w14:textId="268B2D5B" w:rsidR="00C13ECC" w:rsidRPr="00E63DCC" w:rsidRDefault="00C13ECC" w:rsidP="000F7CFC">
            <w:pPr>
              <w:bidi/>
              <w:spacing w:line="240" w:lineRule="auto"/>
              <w:rPr>
                <w:rFonts w:cs="Arial"/>
                <w:szCs w:val="24"/>
                <w:rtl/>
              </w:rPr>
            </w:pPr>
            <w:r>
              <w:rPr>
                <w:rFonts w:hint="cs"/>
                <w:rtl/>
              </w:rPr>
              <w:t>مسؤول التعبئة الاجتماعية الثاني</w:t>
            </w:r>
          </w:p>
        </w:tc>
        <w:tc>
          <w:tcPr>
            <w:tcW w:w="4614" w:type="dxa"/>
            <w:shd w:val="clear" w:color="auto" w:fill="auto"/>
            <w:vAlign w:val="center"/>
          </w:tcPr>
          <w:p w14:paraId="5CC96F07" w14:textId="77777777" w:rsidR="00C13ECC" w:rsidRPr="00E63DCC" w:rsidRDefault="00C13ECC" w:rsidP="000F7CFC">
            <w:pPr>
              <w:spacing w:line="240" w:lineRule="auto"/>
              <w:rPr>
                <w:b/>
                <w:szCs w:val="24"/>
                <w:lang w:val="en-GB"/>
              </w:rPr>
            </w:pPr>
          </w:p>
        </w:tc>
      </w:tr>
      <w:tr w:rsidR="00C13ECC" w:rsidRPr="00E63DCC" w14:paraId="306EF9B9" w14:textId="77777777" w:rsidTr="000F7CFC">
        <w:trPr>
          <w:trHeight w:val="680"/>
        </w:trPr>
        <w:tc>
          <w:tcPr>
            <w:tcW w:w="4628" w:type="dxa"/>
            <w:shd w:val="clear" w:color="auto" w:fill="auto"/>
            <w:vAlign w:val="center"/>
          </w:tcPr>
          <w:p w14:paraId="3AC35E26" w14:textId="73B683C6" w:rsidR="00C13ECC" w:rsidRPr="00E63DCC" w:rsidRDefault="00C13ECC" w:rsidP="000F7CFC">
            <w:pPr>
              <w:bidi/>
              <w:spacing w:line="240" w:lineRule="auto"/>
              <w:rPr>
                <w:rFonts w:cs="Arial"/>
                <w:szCs w:val="24"/>
                <w:rtl/>
              </w:rPr>
            </w:pPr>
            <w:r>
              <w:rPr>
                <w:rFonts w:hint="cs"/>
                <w:rtl/>
              </w:rPr>
              <w:t>مسؤول اللوجستيات المحلي</w:t>
            </w:r>
          </w:p>
        </w:tc>
        <w:tc>
          <w:tcPr>
            <w:tcW w:w="4614" w:type="dxa"/>
            <w:shd w:val="clear" w:color="auto" w:fill="auto"/>
            <w:vAlign w:val="center"/>
          </w:tcPr>
          <w:p w14:paraId="73FF9E76" w14:textId="77777777" w:rsidR="00C13ECC" w:rsidRPr="00E63DCC" w:rsidRDefault="00C13ECC" w:rsidP="000F7CFC">
            <w:pPr>
              <w:spacing w:line="240" w:lineRule="auto"/>
              <w:rPr>
                <w:b/>
                <w:szCs w:val="24"/>
                <w:lang w:val="en-GB"/>
              </w:rPr>
            </w:pPr>
          </w:p>
        </w:tc>
      </w:tr>
      <w:tr w:rsidR="00C13ECC" w:rsidRPr="00E63DCC" w14:paraId="20F81DF9" w14:textId="77777777" w:rsidTr="000F7CFC">
        <w:trPr>
          <w:trHeight w:val="680"/>
        </w:trPr>
        <w:tc>
          <w:tcPr>
            <w:tcW w:w="4628" w:type="dxa"/>
            <w:shd w:val="clear" w:color="auto" w:fill="auto"/>
            <w:vAlign w:val="center"/>
          </w:tcPr>
          <w:p w14:paraId="4DE3F27C" w14:textId="7D431A44" w:rsidR="00C13ECC" w:rsidRPr="00E63DCC" w:rsidRDefault="00C13ECC" w:rsidP="000F7CFC">
            <w:pPr>
              <w:bidi/>
              <w:spacing w:line="240" w:lineRule="auto"/>
              <w:rPr>
                <w:rFonts w:cs="Arial"/>
                <w:szCs w:val="24"/>
                <w:rtl/>
              </w:rPr>
            </w:pPr>
            <w:r>
              <w:rPr>
                <w:rFonts w:hint="cs"/>
                <w:rtl/>
              </w:rPr>
              <w:t>مسؤول الارتباط الأكاديمي المحلي</w:t>
            </w:r>
          </w:p>
        </w:tc>
        <w:tc>
          <w:tcPr>
            <w:tcW w:w="4614" w:type="dxa"/>
            <w:shd w:val="clear" w:color="auto" w:fill="auto"/>
            <w:vAlign w:val="center"/>
          </w:tcPr>
          <w:p w14:paraId="3CDA6241" w14:textId="77777777" w:rsidR="00C13ECC" w:rsidRPr="00E63DCC" w:rsidRDefault="00C13ECC" w:rsidP="000F7CFC">
            <w:pPr>
              <w:spacing w:line="240" w:lineRule="auto"/>
              <w:rPr>
                <w:b/>
                <w:szCs w:val="24"/>
                <w:lang w:val="en-GB"/>
              </w:rPr>
            </w:pPr>
          </w:p>
        </w:tc>
      </w:tr>
      <w:tr w:rsidR="00FD067F" w:rsidRPr="00E63DCC" w14:paraId="5C0102BE" w14:textId="77777777" w:rsidTr="000F7CFC">
        <w:trPr>
          <w:trHeight w:val="680"/>
        </w:trPr>
        <w:tc>
          <w:tcPr>
            <w:tcW w:w="4628" w:type="dxa"/>
            <w:shd w:val="clear" w:color="auto" w:fill="auto"/>
            <w:vAlign w:val="center"/>
          </w:tcPr>
          <w:p w14:paraId="4BC47112" w14:textId="51834FEE" w:rsidR="00A44FCA" w:rsidRPr="00E63DCC" w:rsidRDefault="0001157E" w:rsidP="000F7CFC">
            <w:pPr>
              <w:bidi/>
              <w:spacing w:line="240" w:lineRule="auto"/>
              <w:rPr>
                <w:rFonts w:cs="Arial"/>
                <w:szCs w:val="24"/>
                <w:rtl/>
              </w:rPr>
            </w:pPr>
            <w:r>
              <w:rPr>
                <w:rFonts w:hint="cs"/>
                <w:rtl/>
              </w:rPr>
              <w:t>مسؤول التنسيق الحكومي الداخلي المحلي</w:t>
            </w:r>
          </w:p>
        </w:tc>
        <w:tc>
          <w:tcPr>
            <w:tcW w:w="4614" w:type="dxa"/>
            <w:shd w:val="clear" w:color="auto" w:fill="auto"/>
            <w:vAlign w:val="center"/>
          </w:tcPr>
          <w:p w14:paraId="39751706" w14:textId="77777777" w:rsidR="00BE23D5" w:rsidRPr="00E63DCC" w:rsidRDefault="00BE23D5" w:rsidP="000F7CFC">
            <w:pPr>
              <w:spacing w:line="240" w:lineRule="auto"/>
              <w:rPr>
                <w:b/>
                <w:szCs w:val="24"/>
                <w:lang w:val="en-GB"/>
              </w:rPr>
            </w:pPr>
          </w:p>
        </w:tc>
      </w:tr>
      <w:tr w:rsidR="00A62394" w:rsidRPr="00E63DCC" w14:paraId="0E02DF48" w14:textId="77777777" w:rsidTr="000F7CFC">
        <w:trPr>
          <w:trHeight w:val="680"/>
        </w:trPr>
        <w:tc>
          <w:tcPr>
            <w:tcW w:w="4628" w:type="dxa"/>
            <w:shd w:val="clear" w:color="auto" w:fill="auto"/>
            <w:vAlign w:val="center"/>
          </w:tcPr>
          <w:p w14:paraId="2DD30A64" w14:textId="01CA3481" w:rsidR="00A62394" w:rsidRPr="00E63DCC" w:rsidRDefault="00FD7BCA" w:rsidP="000F7CFC">
            <w:pPr>
              <w:bidi/>
              <w:spacing w:line="240" w:lineRule="auto"/>
              <w:rPr>
                <w:szCs w:val="24"/>
                <w:rtl/>
              </w:rPr>
            </w:pPr>
            <w:r>
              <w:rPr>
                <w:rFonts w:hint="cs"/>
                <w:rtl/>
              </w:rPr>
              <w:t>الخبير التقني، التقييم الصحي</w:t>
            </w:r>
          </w:p>
        </w:tc>
        <w:tc>
          <w:tcPr>
            <w:tcW w:w="4614" w:type="dxa"/>
            <w:shd w:val="clear" w:color="auto" w:fill="auto"/>
            <w:vAlign w:val="center"/>
          </w:tcPr>
          <w:p w14:paraId="26B878E6" w14:textId="77777777" w:rsidR="00A62394" w:rsidRPr="00E63DCC" w:rsidRDefault="00A62394" w:rsidP="000F7CFC">
            <w:pPr>
              <w:spacing w:line="240" w:lineRule="auto"/>
              <w:rPr>
                <w:szCs w:val="24"/>
                <w:lang w:val="en-GB"/>
              </w:rPr>
            </w:pPr>
          </w:p>
        </w:tc>
      </w:tr>
      <w:tr w:rsidR="00A62394" w:rsidRPr="00E63DCC" w14:paraId="7558B496" w14:textId="77777777" w:rsidTr="000F7CFC">
        <w:trPr>
          <w:trHeight w:val="680"/>
        </w:trPr>
        <w:tc>
          <w:tcPr>
            <w:tcW w:w="4628" w:type="dxa"/>
            <w:shd w:val="clear" w:color="auto" w:fill="auto"/>
            <w:vAlign w:val="center"/>
          </w:tcPr>
          <w:p w14:paraId="1F3C8AD3" w14:textId="359E36A0" w:rsidR="00A62394" w:rsidRPr="00E63DCC" w:rsidRDefault="00063D95" w:rsidP="000F7CFC">
            <w:pPr>
              <w:bidi/>
              <w:spacing w:line="240" w:lineRule="auto"/>
              <w:rPr>
                <w:szCs w:val="24"/>
                <w:rtl/>
              </w:rPr>
            </w:pPr>
            <w:r>
              <w:rPr>
                <w:rFonts w:hint="cs"/>
                <w:rtl/>
              </w:rPr>
              <w:t>منسق المشروع</w:t>
            </w:r>
          </w:p>
        </w:tc>
        <w:tc>
          <w:tcPr>
            <w:tcW w:w="4614" w:type="dxa"/>
            <w:shd w:val="clear" w:color="auto" w:fill="auto"/>
            <w:vAlign w:val="center"/>
          </w:tcPr>
          <w:p w14:paraId="2FB2B1B8" w14:textId="42025BC0" w:rsidR="00FD7BCA" w:rsidRPr="00E63DCC" w:rsidRDefault="00FD7BCA" w:rsidP="000F7CFC">
            <w:pPr>
              <w:spacing w:line="240" w:lineRule="auto"/>
              <w:rPr>
                <w:b/>
                <w:szCs w:val="24"/>
                <w:lang w:val="en-GB"/>
              </w:rPr>
            </w:pPr>
          </w:p>
        </w:tc>
      </w:tr>
    </w:tbl>
    <w:p w14:paraId="2FACEE43" w14:textId="77777777" w:rsidR="00A62394" w:rsidRPr="00E63DCC" w:rsidRDefault="00A62394" w:rsidP="00A5640C">
      <w:pPr>
        <w:rPr>
          <w:lang w:val="en-GB"/>
        </w:rPr>
      </w:pPr>
    </w:p>
    <w:p w14:paraId="183D3AC9" w14:textId="77777777" w:rsidR="00A62394" w:rsidRPr="00E63DCC" w:rsidRDefault="00A62394" w:rsidP="00A5640C">
      <w:pPr>
        <w:bidi/>
        <w:rPr>
          <w:rtl/>
        </w:rPr>
      </w:pPr>
      <w:r>
        <w:rPr>
          <w:rFonts w:hint="cs"/>
          <w:rtl/>
        </w:rPr>
        <w:br w:type="page"/>
      </w:r>
    </w:p>
    <w:p w14:paraId="0004FE93" w14:textId="78730B42" w:rsidR="008C07CF" w:rsidRPr="00E63DCC" w:rsidRDefault="00291AF5" w:rsidP="00A5640C">
      <w:pPr>
        <w:pStyle w:val="Heading1"/>
        <w:bidi/>
        <w:rPr>
          <w:rtl/>
        </w:rPr>
      </w:pPr>
      <w:bookmarkStart w:id="10" w:name="_Toc67301044"/>
      <w:bookmarkStart w:id="11" w:name="_Toc71095488"/>
      <w:r>
        <w:rPr>
          <w:rFonts w:hint="cs"/>
          <w:rtl/>
        </w:rPr>
        <w:lastRenderedPageBreak/>
        <w:t>1.</w:t>
      </w:r>
      <w:r>
        <w:rPr>
          <w:rFonts w:hint="cs"/>
          <w:rtl/>
        </w:rPr>
        <w:tab/>
        <w:t>مقدمة</w:t>
      </w:r>
      <w:bookmarkEnd w:id="10"/>
      <w:bookmarkEnd w:id="11"/>
    </w:p>
    <w:p w14:paraId="5AA700CD" w14:textId="7D83FEBC" w:rsidR="008C07CF" w:rsidRPr="00E63DCC" w:rsidRDefault="00CD5662" w:rsidP="003E5366">
      <w:pPr>
        <w:pStyle w:val="Heading2"/>
        <w:bidi/>
        <w:rPr>
          <w:rtl/>
        </w:rPr>
      </w:pPr>
      <w:bookmarkStart w:id="12" w:name="_Toc67301045"/>
      <w:bookmarkStart w:id="13" w:name="_Toc71095489"/>
      <w:r>
        <w:rPr>
          <w:rFonts w:hint="cs"/>
          <w:rtl/>
        </w:rPr>
        <w:t>1.1 تعدين الذهب الحرفي والضيق النطاق والصحة</w:t>
      </w:r>
      <w:bookmarkEnd w:id="12"/>
      <w:bookmarkEnd w:id="13"/>
    </w:p>
    <w:p w14:paraId="42C3D519" w14:textId="4D9B1A70" w:rsidR="00D41440" w:rsidRPr="00E63DCC" w:rsidRDefault="008C07CF" w:rsidP="00A5640C">
      <w:pPr>
        <w:bidi/>
        <w:rPr>
          <w:rtl/>
        </w:rPr>
      </w:pPr>
      <w:r>
        <w:rPr>
          <w:rFonts w:hint="cs"/>
          <w:rtl/>
        </w:rPr>
        <w:t>تعدين الذهب الحرفي والضيق النطاق (</w:t>
      </w:r>
      <w:r>
        <w:t>ASGM</w:t>
      </w:r>
      <w:r>
        <w:rPr>
          <w:rFonts w:hint="cs"/>
          <w:rtl/>
        </w:rPr>
        <w:t>) هو، بشكل عام، استغلال رواسب الذهب الأصغر من قبل أفراد أو مجموعات صغيرة أو تعاونيات صغيرة </w:t>
      </w:r>
      <w:r>
        <w:rPr>
          <w:rFonts w:hint="cs"/>
          <w:i/>
          <w:iCs/>
          <w:rtl/>
        </w:rPr>
        <w:t>(1)</w:t>
      </w:r>
      <w:r>
        <w:rPr>
          <w:rFonts w:hint="cs"/>
          <w:rtl/>
        </w:rPr>
        <w:t>.</w:t>
      </w:r>
      <w:r>
        <w:t xml:space="preserve"> </w:t>
      </w:r>
      <w:r>
        <w:rPr>
          <w:rFonts w:hint="cs"/>
          <w:rtl/>
        </w:rPr>
        <w:t>غالبًا ما يكون تعدين الذهب الحرفي والضيق النطاق عملاً كثيف العمالة يستخدم ميكنة محدودة أو لا يستخدمها على الإطلاق، وقد تكون معدلات استرداد رأس المال فيه منخفضة.</w:t>
      </w:r>
      <w:r>
        <w:t xml:space="preserve"> </w:t>
      </w:r>
      <w:r>
        <w:rPr>
          <w:rFonts w:hint="cs"/>
          <w:rtl/>
        </w:rPr>
        <w:t>غالبًا ما يتسم القطاع بانخفاض مستويات رأس المال والإنتاجية والسلامة المهنية ومحدودية الوصول إلى الأراضي وأسواق التداول.</w:t>
      </w:r>
      <w:r>
        <w:t xml:space="preserve"> </w:t>
      </w:r>
      <w:r>
        <w:rPr>
          <w:rFonts w:hint="cs"/>
          <w:rtl/>
        </w:rPr>
        <w:t>يُمارس تعدين الذهب الحرفي والضيق النطاق في أكثر من 70 دولة.</w:t>
      </w:r>
      <w:r>
        <w:t xml:space="preserve"> </w:t>
      </w:r>
      <w:r>
        <w:rPr>
          <w:rFonts w:hint="cs"/>
          <w:rtl/>
        </w:rPr>
        <w:t>يشارك ما يقدر بنحو 10-15 مليون شخص في تعدين الذهب الحرفي والضيق النطاق، بما في ذلك 4-5 ملايين امرأة ومليون طفل، في حين أن سبل عيش 80-100 مليون شخص آخرين تتأثر بالتعدين </w:t>
      </w:r>
      <w:r>
        <w:rPr>
          <w:rFonts w:hint="cs"/>
          <w:i/>
          <w:iCs/>
          <w:rtl/>
        </w:rPr>
        <w:t>(2، 3)</w:t>
      </w:r>
      <w:r>
        <w:rPr>
          <w:rFonts w:hint="cs"/>
          <w:rtl/>
        </w:rPr>
        <w:t>.</w:t>
      </w:r>
      <w:r>
        <w:t xml:space="preserve"> </w:t>
      </w:r>
      <w:r>
        <w:rPr>
          <w:rFonts w:hint="cs"/>
          <w:rtl/>
        </w:rPr>
        <w:t>يعد تعدين الذهب الحرفي والضيق النطاق نشاطًا مهمًا في العديد من البلدان النامية، حيث يوفر مصدرًا أوليًا وإضافيًا للدخل، لا سيما في المناطق الريفية حيث البدائل الاقتصادية للزراعة محدودة.</w:t>
      </w:r>
      <w:r>
        <w:t xml:space="preserve"> </w:t>
      </w:r>
      <w:r>
        <w:rPr>
          <w:rFonts w:hint="cs"/>
          <w:rtl/>
        </w:rPr>
        <w:t>يُقدر أن قطاع تعدين الذهب الحرفي والضيق النطاق يساهم بنحو 25٪ من الإنتاج العالمي من الذهب </w:t>
      </w:r>
      <w:r>
        <w:rPr>
          <w:rFonts w:hint="cs"/>
          <w:i/>
          <w:iCs/>
          <w:rtl/>
        </w:rPr>
        <w:t>(4)</w:t>
      </w:r>
      <w:r>
        <w:rPr>
          <w:rFonts w:hint="cs"/>
          <w:rtl/>
        </w:rPr>
        <w:t>.</w:t>
      </w:r>
      <w:r>
        <w:t xml:space="preserve"> </w:t>
      </w:r>
      <w:r>
        <w:rPr>
          <w:rFonts w:hint="cs"/>
          <w:rtl/>
        </w:rPr>
        <w:t>[يُرجى زيادة تطوير هذا القسم التمهيدي عن طريق تعديل الفقرة الأولى وإضافة فقرة إضافية تقدم معلومات أساسية عن تعدين الذهب الحرفي والضيق النطاق في بلد الدراسة (مثل عدد الأشخاص العاملين في هذا القطاع، والمشاكل الصحية المعروفة المرتبطة بالتعدين، والدافع لمزيد من التحقيق).]</w:t>
      </w:r>
    </w:p>
    <w:p w14:paraId="101DB61A" w14:textId="7F2B761C" w:rsidR="009E4347" w:rsidRPr="00482197" w:rsidRDefault="00172DD3" w:rsidP="009E4347">
      <w:pPr>
        <w:pStyle w:val="Normalboldhead"/>
        <w:bidi/>
        <w:rPr>
          <w:b w:val="0"/>
          <w:bCs/>
          <w:rtl/>
        </w:rPr>
      </w:pPr>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r w:rsidRPr="00482197">
        <w:rPr>
          <w:b w:val="0"/>
          <w:bCs/>
        </w:rPr>
        <w:t xml:space="preserve"> </w:t>
      </w:r>
    </w:p>
    <w:p w14:paraId="0310A818" w14:textId="2C29144B" w:rsidR="00172DD3" w:rsidRPr="00E63DCC" w:rsidRDefault="00172DD3" w:rsidP="00A5640C">
      <w:pPr>
        <w:bidi/>
        <w:rPr>
          <w:rtl/>
        </w:rPr>
      </w:pPr>
      <w:r>
        <w:rPr>
          <w:rFonts w:hint="cs"/>
          <w:rtl/>
        </w:rPr>
        <w:t>يمكن تصنيف المخاطر الصحية المرتبطة بتعدين الذهب الحرفي والضيق النطاق إلى مخاطر كيميائية (مثل الزئبق، السيانيد، الزرنيخ، الرصاص)، وبيولوجية (مثل الأمراض المرتبطة بالمياه والمخلفات، أنواع العدوى المنقولة جنسيًا)، وميكانيكية حيوية (مثل الصدمات، الإجهاد المفرط)، وفيزيائية (مثل الضوضاء، انخفاض مستويات الأكسجين) ونفسية اجتماعية (مثل تعاطي المخدرات، التوتر، الإرهاق) </w:t>
      </w:r>
      <w:r>
        <w:rPr>
          <w:rFonts w:hint="cs"/>
          <w:i/>
          <w:iCs/>
          <w:rtl/>
        </w:rPr>
        <w:t>(5)</w:t>
      </w:r>
      <w:r>
        <w:rPr>
          <w:rFonts w:hint="cs"/>
          <w:rtl/>
        </w:rPr>
        <w:t>.</w:t>
      </w:r>
    </w:p>
    <w:p w14:paraId="1B5DB93B" w14:textId="70CB3E59" w:rsidR="00172DD3" w:rsidRPr="00E63DCC" w:rsidRDefault="00172DD3" w:rsidP="00A5640C">
      <w:pPr>
        <w:bidi/>
        <w:rPr>
          <w:rtl/>
        </w:rPr>
      </w:pPr>
      <w:r>
        <w:rPr>
          <w:rFonts w:hint="cs"/>
          <w:rtl/>
        </w:rPr>
        <w:t>تتخذ العديد من البلدان خطوات فعالة لتقليل استخدام الزئبق في عمليات تعدين الذهب الحرفي والضيق النطاق والقضاء عليه حيثما أمكن.</w:t>
      </w:r>
      <w:r>
        <w:t xml:space="preserve"> </w:t>
      </w:r>
      <w:r>
        <w:rPr>
          <w:rFonts w:hint="cs"/>
          <w:rtl/>
        </w:rPr>
        <w:t>ومع ذلك، يظل ملغم الزئبق ـ نظرًا لتكلفته المنخفضة وسهولة استخدامه وتوافره على نطاق واسع ـ الطريقة المفضلة المستخدمة في تعدين الذهب الحرفي والضيق النطاق لاستخراج الذهب.</w:t>
      </w:r>
      <w:r>
        <w:t xml:space="preserve"> </w:t>
      </w:r>
      <w:r>
        <w:rPr>
          <w:rFonts w:hint="cs"/>
          <w:rtl/>
        </w:rPr>
        <w:t>وبالتالي، يُستخدم الزئبق في تعدين الذهب الحرفي والضيق النطاق في أكثر من 70 دولة ويمثل أكبر القطاعات طلبًا للزئبق في العالم، حيث يستخدم ما يقرب من 1600 طن سنويًا.</w:t>
      </w:r>
      <w:r>
        <w:t xml:space="preserve"> </w:t>
      </w:r>
      <w:r>
        <w:rPr>
          <w:rFonts w:hint="cs"/>
          <w:rtl/>
        </w:rPr>
        <w:t>كما يُقدر أن تعدين الذهب الحرفي والضيق النطاق هو أكبر مصدر لانبعاثات الزئبق البشرية المنشأ في البيئة </w:t>
      </w:r>
      <w:r>
        <w:rPr>
          <w:rFonts w:hint="cs"/>
          <w:i/>
          <w:iCs/>
          <w:rtl/>
        </w:rPr>
        <w:t>(4، 6)</w:t>
      </w:r>
      <w:r>
        <w:rPr>
          <w:rFonts w:hint="cs"/>
          <w:rtl/>
        </w:rPr>
        <w:t>.</w:t>
      </w:r>
    </w:p>
    <w:p w14:paraId="424AB3E9" w14:textId="56E4D03F" w:rsidR="008C07CF" w:rsidRPr="00E63DCC" w:rsidRDefault="00790A06" w:rsidP="00A5640C">
      <w:pPr>
        <w:pStyle w:val="Heading2"/>
        <w:bidi/>
        <w:rPr>
          <w:rtl/>
        </w:rPr>
      </w:pPr>
      <w:bookmarkStart w:id="14" w:name="_Toc67301046"/>
      <w:bookmarkStart w:id="15" w:name="_Toc71095490"/>
      <w:r>
        <w:rPr>
          <w:rFonts w:hint="cs"/>
          <w:rtl/>
        </w:rPr>
        <w:t>1.2 الأساس المنطقي للدراسة</w:t>
      </w:r>
      <w:bookmarkEnd w:id="14"/>
      <w:bookmarkEnd w:id="15"/>
    </w:p>
    <w:p w14:paraId="4847D36B" w14:textId="7BB001E3" w:rsidR="0031708F" w:rsidRPr="00E63DCC" w:rsidRDefault="00D95825" w:rsidP="00A5640C">
      <w:pPr>
        <w:bidi/>
        <w:rPr>
          <w:rtl/>
        </w:rPr>
      </w:pPr>
      <w:r>
        <w:rPr>
          <w:rFonts w:hint="cs"/>
          <w:rtl/>
        </w:rPr>
        <w:t xml:space="preserve">اتفاقية </w:t>
      </w:r>
      <w:proofErr w:type="spellStart"/>
      <w:r>
        <w:rPr>
          <w:rFonts w:hint="cs"/>
          <w:rtl/>
        </w:rPr>
        <w:t>ميناماتا</w:t>
      </w:r>
      <w:proofErr w:type="spellEnd"/>
      <w:r>
        <w:rPr>
          <w:rFonts w:hint="cs"/>
          <w:rtl/>
        </w:rPr>
        <w:t xml:space="preserve"> بشأن الزئبق ـ والتي تم تبنيها عام 2013 ـ هي معاهدة بيئية دولية تم تصميمها لحماية صحة الإنسان والبيئة من الانبعاثات بشرية المنشأ وإطلاقات الزئبق ومركبات الزئبق </w:t>
      </w:r>
      <w:r>
        <w:rPr>
          <w:rFonts w:hint="cs"/>
          <w:i/>
          <w:iCs/>
          <w:rtl/>
        </w:rPr>
        <w:t>(7)</w:t>
      </w:r>
      <w:r>
        <w:rPr>
          <w:rFonts w:hint="cs"/>
          <w:rtl/>
        </w:rPr>
        <w:t>.</w:t>
      </w:r>
      <w:r>
        <w:t xml:space="preserve"> </w:t>
      </w:r>
      <w:r>
        <w:rPr>
          <w:rFonts w:hint="cs"/>
          <w:rtl/>
        </w:rPr>
        <w:t xml:space="preserve">سميت الاتفاقية على اسم مدينة </w:t>
      </w:r>
      <w:proofErr w:type="spellStart"/>
      <w:r>
        <w:rPr>
          <w:rFonts w:hint="cs"/>
          <w:rtl/>
        </w:rPr>
        <w:t>ميناماتا</w:t>
      </w:r>
      <w:proofErr w:type="spellEnd"/>
      <w:r>
        <w:rPr>
          <w:rFonts w:hint="cs"/>
          <w:rtl/>
        </w:rPr>
        <w:t xml:space="preserve"> اليابانية، التي تعرضت لحادث تسمم ضخم بالزئبق.</w:t>
      </w:r>
      <w:r>
        <w:t xml:space="preserve"> </w:t>
      </w:r>
      <w:r>
        <w:rPr>
          <w:rFonts w:hint="cs"/>
          <w:rtl/>
        </w:rPr>
        <w:t xml:space="preserve">في الفقرة 3(أ) من المادة 7 (انظر الملحق أ لهذه الوثيقة)، تُلزم اتفاقية </w:t>
      </w:r>
      <w:proofErr w:type="spellStart"/>
      <w:r>
        <w:rPr>
          <w:rFonts w:hint="cs"/>
          <w:rtl/>
        </w:rPr>
        <w:t>ميناماتا</w:t>
      </w:r>
      <w:proofErr w:type="spellEnd"/>
      <w:r>
        <w:rPr>
          <w:rFonts w:hint="cs"/>
          <w:rtl/>
        </w:rPr>
        <w:t xml:space="preserve"> بشأن الزئبق كل طرف لديه تعدين الذهب الحرفي والضيق النطاق بشكل غير محدود في أراضيه بوضع خطة عمل وطنية (</w:t>
      </w:r>
      <w:r>
        <w:t>NAP</w:t>
      </w:r>
      <w:r>
        <w:rPr>
          <w:rFonts w:hint="cs"/>
          <w:rtl/>
        </w:rPr>
        <w:t>) وتنفيذها وفقًا للمرفق "ج" من الاتفاقية (انظر الملحق "ب" لهذه الوثيقة).</w:t>
      </w:r>
      <w:r>
        <w:t xml:space="preserve"> </w:t>
      </w:r>
    </w:p>
    <w:p w14:paraId="1AFB4130" w14:textId="6CEF7C87" w:rsidR="00D95825" w:rsidRPr="00E63DCC" w:rsidRDefault="0035314E" w:rsidP="00F55E1D">
      <w:pPr>
        <w:bidi/>
        <w:rPr>
          <w:rtl/>
        </w:rPr>
      </w:pPr>
      <w:r>
        <w:rPr>
          <w:rFonts w:hint="cs"/>
          <w:rtl/>
        </w:rPr>
        <w:t>تنص الفقرة 1(ح) من الملحق ج على أن خطة العمل الوطنية تتضمن استراتيجية للصحة العامة بشأن تعرض عمال التعدين الحرفي والضيق النطاق ومجتمعاتهم المحلية للمخاطر.</w:t>
      </w:r>
      <w:r>
        <w:t xml:space="preserve"> </w:t>
      </w:r>
      <w:r>
        <w:rPr>
          <w:rFonts w:hint="cs"/>
          <w:rtl/>
        </w:rPr>
        <w:t>وينبغي أن تتضمن استراتيجية الصحة العامة جملة أمور، من بينها جمع البيانات الصحية، وتدريب المشتغلين بالرعاية الصحية، والتوعية من خلال المنشآت الصحية.</w:t>
      </w:r>
      <w:r>
        <w:t xml:space="preserve"> </w:t>
      </w:r>
      <w:r>
        <w:rPr>
          <w:rFonts w:hint="cs"/>
          <w:rtl/>
        </w:rPr>
        <w:t>وضعت منظمة الصحة العالمية (</w:t>
      </w:r>
      <w:r>
        <w:t>WHO</w:t>
      </w:r>
      <w:r>
        <w:rPr>
          <w:rFonts w:hint="cs"/>
          <w:rtl/>
        </w:rPr>
        <w:t xml:space="preserve">) </w:t>
      </w:r>
      <w:r w:rsidR="00F55E1D" w:rsidRPr="00F55E1D">
        <w:rPr>
          <w:i/>
          <w:iCs/>
          <w:rtl/>
          <w:lang w:bidi="ar-SA"/>
        </w:rPr>
        <w:t>دليل</w:t>
      </w:r>
      <w:r w:rsidR="00F55E1D">
        <w:rPr>
          <w:rFonts w:hint="cs"/>
          <w:i/>
          <w:iCs/>
          <w:rtl/>
          <w:lang w:bidi="ar-SA"/>
        </w:rPr>
        <w:t>ًا</w:t>
      </w:r>
      <w:r w:rsidR="00F55E1D" w:rsidRPr="00F55E1D">
        <w:rPr>
          <w:i/>
          <w:iCs/>
          <w:rtl/>
          <w:lang w:bidi="ar-SA"/>
        </w:rPr>
        <w:t xml:space="preserve"> تفصيل</w:t>
      </w:r>
      <w:r w:rsidR="00F55E1D" w:rsidRPr="00F55E1D">
        <w:rPr>
          <w:rFonts w:hint="cs"/>
          <w:i/>
          <w:iCs/>
          <w:rtl/>
          <w:lang w:bidi="ar-SA"/>
        </w:rPr>
        <w:t>ي</w:t>
      </w:r>
      <w:r w:rsidR="00F55E1D">
        <w:rPr>
          <w:rFonts w:hint="cs"/>
          <w:i/>
          <w:iCs/>
          <w:rtl/>
          <w:lang w:bidi="ar-SA"/>
        </w:rPr>
        <w:t>ًا</w:t>
      </w:r>
      <w:r w:rsidR="00F55E1D" w:rsidRPr="00F55E1D">
        <w:rPr>
          <w:i/>
          <w:iCs/>
          <w:rtl/>
          <w:lang w:bidi="ar-SA"/>
        </w:rPr>
        <w:t xml:space="preserve"> لوضع است</w:t>
      </w:r>
      <w:r w:rsidR="00F55E1D" w:rsidRPr="00F55E1D">
        <w:rPr>
          <w:rFonts w:hint="cs"/>
          <w:i/>
          <w:iCs/>
          <w:rtl/>
          <w:lang w:bidi="ar-SA"/>
        </w:rPr>
        <w:t>ر</w:t>
      </w:r>
      <w:r w:rsidR="00F55E1D" w:rsidRPr="00F55E1D">
        <w:rPr>
          <w:i/>
          <w:iCs/>
          <w:rtl/>
          <w:lang w:bidi="ar-SA"/>
        </w:rPr>
        <w:t>اتيجية للصحة</w:t>
      </w:r>
      <w:r w:rsidR="00F55E1D" w:rsidRPr="00F55E1D">
        <w:rPr>
          <w:rFonts w:hint="cs"/>
          <w:i/>
          <w:iCs/>
          <w:rtl/>
          <w:lang w:bidi="ar-SA"/>
        </w:rPr>
        <w:t xml:space="preserve"> </w:t>
      </w:r>
      <w:r w:rsidR="00F55E1D" w:rsidRPr="00F55E1D">
        <w:rPr>
          <w:i/>
          <w:iCs/>
          <w:rtl/>
          <w:lang w:bidi="ar-SA"/>
        </w:rPr>
        <w:t>العامة بشأن تعدين الذهب الحرفي والضيق</w:t>
      </w:r>
      <w:r w:rsidR="00F55E1D" w:rsidRPr="00F55E1D">
        <w:rPr>
          <w:rFonts w:hint="cs"/>
          <w:i/>
          <w:iCs/>
          <w:rtl/>
          <w:lang w:bidi="ar-SA"/>
        </w:rPr>
        <w:t xml:space="preserve"> </w:t>
      </w:r>
      <w:r w:rsidR="00F55E1D" w:rsidRPr="00F55E1D">
        <w:rPr>
          <w:i/>
          <w:iCs/>
          <w:rtl/>
          <w:lang w:bidi="ar-SA"/>
        </w:rPr>
        <w:t>النطاق في</w:t>
      </w:r>
      <w:r w:rsidR="00F55E1D" w:rsidRPr="00F55E1D">
        <w:rPr>
          <w:rFonts w:hint="cs"/>
          <w:i/>
          <w:iCs/>
          <w:rtl/>
          <w:lang w:bidi="ar-SA"/>
        </w:rPr>
        <w:t xml:space="preserve"> </w:t>
      </w:r>
      <w:r w:rsidR="00F55E1D" w:rsidRPr="00F55E1D">
        <w:rPr>
          <w:i/>
          <w:iCs/>
          <w:rtl/>
          <w:lang w:bidi="ar-SA"/>
        </w:rPr>
        <w:t xml:space="preserve">سياق اتفاقية </w:t>
      </w:r>
      <w:proofErr w:type="spellStart"/>
      <w:r w:rsidR="00F55E1D" w:rsidRPr="00F55E1D">
        <w:rPr>
          <w:i/>
          <w:iCs/>
          <w:rtl/>
          <w:lang w:bidi="ar-SA"/>
        </w:rPr>
        <w:t>ميناماتا</w:t>
      </w:r>
      <w:proofErr w:type="spellEnd"/>
      <w:r w:rsidR="00F55E1D" w:rsidRPr="00F55E1D">
        <w:rPr>
          <w:i/>
          <w:iCs/>
          <w:rtl/>
          <w:lang w:bidi="ar-SA"/>
        </w:rPr>
        <w:t xml:space="preserve"> بشأن الزئبق</w:t>
      </w:r>
      <w:r>
        <w:rPr>
          <w:rFonts w:hint="cs"/>
          <w:rtl/>
        </w:rPr>
        <w:t> لوزارات الصحة من أجل دعم وضع استراتيجيات الصحة العامة بشأن التعدين </w:t>
      </w:r>
      <w:r>
        <w:rPr>
          <w:rFonts w:hint="cs"/>
          <w:i/>
          <w:iCs/>
          <w:rtl/>
        </w:rPr>
        <w:t>(8)</w:t>
      </w:r>
      <w:r>
        <w:rPr>
          <w:rFonts w:hint="cs"/>
          <w:rtl/>
        </w:rPr>
        <w:t>.</w:t>
      </w:r>
      <w:r>
        <w:t xml:space="preserve"> </w:t>
      </w:r>
      <w:r>
        <w:rPr>
          <w:rFonts w:hint="cs"/>
          <w:rtl/>
        </w:rPr>
        <w:t>قد يساعد الإرشاد من منظمة الصحة العالمية أيضًا في وضع محتوى آخر لبرنامج العمل الوطني المطلوب بموجب الملحق ج، وتحديدًا الفقرة 1(ط)، والتي تتطلب أن تحتوي خطة العمل الوطنية على استراتيجيات لمنع تعرض الفئات المعرضة للخطر من السكان ـ لا سيما الأطفال والنساء في سن الإنجاب، وخاصة النساء الحوامل ـ للزئبق المستخدم في تعدين الذهب الحرفي والضيق النطاق، والفقرة 1(ي)، والتي تتطلب أن تحتوي خطة العمل الوطنية على استراتيجيات لتوفير المعلومات لعمال التعدين والمجتمعات المتضررة.</w:t>
      </w:r>
    </w:p>
    <w:p w14:paraId="5EBDCF01" w14:textId="15CCF08E" w:rsidR="00D95825" w:rsidRPr="00E63DCC" w:rsidRDefault="00D95825" w:rsidP="00A5640C">
      <w:pPr>
        <w:bidi/>
        <w:rPr>
          <w:rtl/>
        </w:rPr>
      </w:pPr>
      <w:r>
        <w:rPr>
          <w:rFonts w:hint="cs"/>
          <w:rtl/>
        </w:rPr>
        <w:t xml:space="preserve">تم إنشاء مبادرة منظمة الصحة العالمية هذه استجابة لقرار جمعية الصحة العالمية رقم </w:t>
      </w:r>
      <w:r>
        <w:t>WHA67.11 (2014)</w:t>
      </w:r>
      <w:r>
        <w:rPr>
          <w:rFonts w:hint="cs"/>
          <w:rtl/>
        </w:rPr>
        <w:t>، الذي يعترف بدور وزارات الصحة في دعم تنفيذ الاتفاقية ويدعو منظمة الصحة العالمية إلى تقديم الدعم التقني في هذا الصدد.</w:t>
      </w:r>
      <w:r>
        <w:t xml:space="preserve"> </w:t>
      </w:r>
      <w:r>
        <w:rPr>
          <w:rFonts w:hint="cs"/>
          <w:rtl/>
        </w:rPr>
        <w:t xml:space="preserve">ولهذا وضعت منظمة الصحة العالمية نهجًا بحثيًا يشتمل على مجموعة من الأدوات لدعم وضع استراتيجيات الصحة العامة الخاصة بتعدين الذهب الحرفي </w:t>
      </w:r>
      <w:r>
        <w:rPr>
          <w:rFonts w:hint="cs"/>
          <w:rtl/>
        </w:rPr>
        <w:lastRenderedPageBreak/>
        <w:t>والضيق النطاق.</w:t>
      </w:r>
      <w:r>
        <w:t xml:space="preserve"> </w:t>
      </w:r>
      <w:r>
        <w:rPr>
          <w:rFonts w:hint="cs"/>
          <w:rtl/>
        </w:rPr>
        <w:t>أجرت منظمة الصحة العالمية تجربة على استخدام نهج البحث والأدوات ذات الصلة في ثلاثة بلدان أفريقية كانت في وقت إجراء الدراسات التجريبية (أ) لديها أنشطة واسعة النطاق لتعدين الذهب الحرفي والضيق النطاق و(ب) في طور وضع خطة عمل وطنية، وهي غانا وموزمبيق ونيجيريا.</w:t>
      </w:r>
      <w:r>
        <w:t xml:space="preserve"> </w:t>
      </w:r>
    </w:p>
    <w:p w14:paraId="4C9ACE08" w14:textId="1E58FD42" w:rsidR="00640FBF" w:rsidRPr="00E63DCC" w:rsidRDefault="00640FBF" w:rsidP="00A5640C">
      <w:pPr>
        <w:bidi/>
        <w:rPr>
          <w:rtl/>
        </w:rPr>
      </w:pPr>
      <w:r>
        <w:rPr>
          <w:rFonts w:hint="cs"/>
          <w:rtl/>
        </w:rPr>
        <w:t>يتمثل الهدف المحدد من تقييم الوضع الصحي في التوصل إلى أدلة أولية ومعلومات متعلقة بالمخاوف الصحية ذات الأولوية لدى عمال تعدين الذهب الحرفي والضيق النطاق ومجتمعاتهم، وتقديم فهم أولي حول القدرة المتاحة للنظام الصحي للاستجابة لتلك المخاوف الصحية.</w:t>
      </w:r>
      <w:r>
        <w:t xml:space="preserve"> </w:t>
      </w:r>
      <w:r>
        <w:rPr>
          <w:rFonts w:hint="cs"/>
          <w:rtl/>
        </w:rPr>
        <w:t>من المتوقع بعد ذلك أن تفيد هذه المعلومات في تحديد الأولويات والتدخلات التي ستظهر في استراتيجية الصحة العامة ضمن خطة العمل الوطنية.</w:t>
      </w:r>
      <w:r>
        <w:t xml:space="preserve"> </w:t>
      </w:r>
      <w:r>
        <w:rPr>
          <w:rFonts w:hint="cs"/>
          <w:rtl/>
        </w:rPr>
        <w:t>يهدف تقييم الوضع الصحي إلى أن يكون دراسة أولية، وليس من المتوقع أن يقدم نظرة عامة وبائية متعمقة عن الآثار الصحية لتعدين الذهب الحرفي والضيق النطاق.</w:t>
      </w:r>
      <w:r>
        <w:t xml:space="preserve"> </w:t>
      </w:r>
    </w:p>
    <w:p w14:paraId="53A1E28B" w14:textId="7B52A666" w:rsidR="00640FBF" w:rsidRPr="00E63DCC" w:rsidRDefault="00640FBF" w:rsidP="00A5640C">
      <w:pPr>
        <w:bidi/>
        <w:rPr>
          <w:rtl/>
        </w:rPr>
      </w:pPr>
      <w:r>
        <w:rPr>
          <w:rFonts w:hint="cs"/>
          <w:rtl/>
        </w:rPr>
        <w:t>يتناول بروتوكول الدراسة الحالي منهجية تقييم الوضع الصحي، والتي تشمل الاستشارات المجتمعية، والمقابلات مع الأفراد وتقييم المنشآت الصحية (</w:t>
      </w:r>
      <w:r>
        <w:t>HFA</w:t>
      </w:r>
      <w:r>
        <w:rPr>
          <w:rFonts w:hint="cs"/>
          <w:rtl/>
        </w:rPr>
        <w:t>).</w:t>
      </w:r>
      <w:r>
        <w:t xml:space="preserve"> </w:t>
      </w:r>
      <w:r>
        <w:rPr>
          <w:rFonts w:hint="cs"/>
          <w:rtl/>
        </w:rPr>
        <w:t>سيتم إجراء تقييم للقدرات المؤسسية لتحديد الجاهزية العامة للنظام الصحي على المستويين الوطني ودون الوطني - ولكن ليس المحلي - للكشف عن المشاكل الصحية المرتبطة بتعدين الذهب الحرفي والضيق النطاق والوقاية منها والتعامل معها ـ بما في ذلك التعرض للزئبق ـ بالتوازي مع تقييم الوضع الصحي.</w:t>
      </w:r>
      <w:r>
        <w:t xml:space="preserve"> </w:t>
      </w:r>
      <w:r>
        <w:rPr>
          <w:rFonts w:hint="cs"/>
          <w:rtl/>
        </w:rPr>
        <w:t>على أنه لم يتم تناول تقييم القدرات المؤسسية في بروتوكول الدراسة الحالي.</w:t>
      </w:r>
    </w:p>
    <w:p w14:paraId="727050E6" w14:textId="551C3C0B" w:rsidR="0051360A" w:rsidRPr="00E63DCC" w:rsidRDefault="0051360A" w:rsidP="00A5640C">
      <w:pPr>
        <w:bidi/>
        <w:rPr>
          <w:rtl/>
        </w:rPr>
      </w:pPr>
      <w:r>
        <w:rPr>
          <w:rFonts w:hint="cs"/>
          <w:rtl/>
        </w:rPr>
        <w:t>[يُرجى زيادة تطوير هذا القسم من خلال تعديل الفقرات وإضافة معلومات إضافية بخصوص أهداف تقييم وضعك الصحي واستخدام دليل منظمة الصحة العالمية التفصيلي.]</w:t>
      </w:r>
    </w:p>
    <w:p w14:paraId="4825A5B0" w14:textId="415F0C41" w:rsidR="00996821" w:rsidRPr="00482197" w:rsidRDefault="00996821" w:rsidP="009E4347">
      <w:pPr>
        <w:pStyle w:val="Normalboldhead"/>
        <w:bidi/>
        <w:rPr>
          <w:b w:val="0"/>
          <w:bCs/>
          <w:rtl/>
        </w:rPr>
      </w:pPr>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r w:rsidRPr="00482197">
        <w:rPr>
          <w:b w:val="0"/>
          <w:bCs/>
        </w:rPr>
        <w:t xml:space="preserve"> </w:t>
      </w:r>
    </w:p>
    <w:p w14:paraId="1501C17C" w14:textId="089D230C" w:rsidR="00BF2106" w:rsidRPr="00E63DCC" w:rsidRDefault="00BF2106" w:rsidP="00A5640C">
      <w:pPr>
        <w:bidi/>
        <w:rPr>
          <w:rtl/>
        </w:rPr>
      </w:pPr>
      <w:r>
        <w:rPr>
          <w:rFonts w:hint="cs"/>
          <w:rtl/>
        </w:rPr>
        <w:t>تهدف الدراسة الحالية إلى تجربة الإرشاد الصادر عن منظمة الصحة العالمية (وخاصة بروتوكول الدراسة) الجاري وضعه لدعم إجراء تقييم للتحديات التي تواجهها الصحة العامة في سياق تعدين الذهب الحرفي والضيق النطاق.</w:t>
      </w:r>
      <w:r>
        <w:t xml:space="preserve"> </w:t>
      </w:r>
      <w:r>
        <w:rPr>
          <w:rFonts w:hint="cs"/>
          <w:rtl/>
        </w:rPr>
        <w:t>يتمثل الهدف المحدد من تقييم الوضع الصحي في التوصل إلى أدلة أولية ومعلومات متعلقة بالمخاوف الصحية ذات الأولوية لدى عمال تعدين الذهب الحرفي والضيق النطاق ومجتمعاتهم، وتقديم فهم أولي حول القدرة المتاحة للنظام الصحي للاستجابة لتلك المخاوف الصحية.</w:t>
      </w:r>
      <w:r>
        <w:t xml:space="preserve"> </w:t>
      </w:r>
      <w:r>
        <w:rPr>
          <w:rFonts w:hint="cs"/>
          <w:rtl/>
        </w:rPr>
        <w:t>من المتوقع بعد ذلك أن تفيد هذه المعلومات في تحديد الأولويات والتدخلات التي ستظهر في استراتيجية الصحة العامة ضمن خطة العمل الوطنية.</w:t>
      </w:r>
    </w:p>
    <w:p w14:paraId="410DF1EF" w14:textId="7A6E36CE" w:rsidR="00BF2106" w:rsidRPr="00E63DCC" w:rsidRDefault="00BF2106" w:rsidP="00A5640C">
      <w:pPr>
        <w:bidi/>
        <w:rPr>
          <w:rtl/>
        </w:rPr>
      </w:pPr>
      <w:r>
        <w:rPr>
          <w:rFonts w:hint="cs"/>
          <w:rtl/>
        </w:rPr>
        <w:t>يهدف تقييم الوضع الصحي إلى أن يكون دراسة أولية، وليس من المتوقع أن يقدم نظرة عامة وبائية متعمقة عن الآثار الصحية لتعدين الذهب الحرفي والضيق النطاق.</w:t>
      </w:r>
      <w:r>
        <w:t xml:space="preserve"> </w:t>
      </w:r>
      <w:r>
        <w:rPr>
          <w:rFonts w:hint="cs"/>
          <w:rtl/>
        </w:rPr>
        <w:t xml:space="preserve">ولذلك فإن الأساليب والأدوات التي تم وضعها لدعم الدراسة تهدف إلى الحصول على صورة أولية ـ وتمثيلية إن أمكن ـ للتحديات الصحية التي </w:t>
      </w:r>
      <w:proofErr w:type="spellStart"/>
      <w:r>
        <w:rPr>
          <w:rFonts w:hint="cs"/>
          <w:rtl/>
        </w:rPr>
        <w:t>يواجهها</w:t>
      </w:r>
      <w:proofErr w:type="spellEnd"/>
      <w:r>
        <w:rPr>
          <w:rFonts w:hint="cs"/>
          <w:rtl/>
        </w:rPr>
        <w:t xml:space="preserve"> عمال تعدين الذهب الحرفي والضيق النطاق ومجتمعاتهم وقدرة المنشآت الصحية على تلبية احتياجاتهم الصحية الخاصة والاستجابة لها. .</w:t>
      </w:r>
    </w:p>
    <w:p w14:paraId="7E45D193" w14:textId="5AB6BA0F" w:rsidR="00BF2106" w:rsidRPr="00E63DCC" w:rsidRDefault="00BF2106" w:rsidP="00A5640C">
      <w:pPr>
        <w:bidi/>
        <w:rPr>
          <w:rtl/>
        </w:rPr>
      </w:pPr>
      <w:r>
        <w:rPr>
          <w:rFonts w:hint="cs"/>
          <w:rtl/>
        </w:rPr>
        <w:t>سيتم استخدام الدروس المستفادة والرؤى الناتجة عن الخبرات التجريبية في البلدان الثلاثة لتعزيز البروتوكول وتقديم مجموعة من التوصيات المصممة لكل بلد والتي يمكن استخدامها بعد ذلك لتوجيه عملية وضع استراتيجيات الصحة العامة الخاصة بها في إطار خطة العمل الوطنية.</w:t>
      </w:r>
      <w:r>
        <w:t xml:space="preserve"> </w:t>
      </w:r>
      <w:r>
        <w:rPr>
          <w:rFonts w:hint="cs"/>
          <w:rtl/>
        </w:rPr>
        <w:t>تتمثل أهداف تقييم الوضع الصحي في تحديد السلوك الصحي لعمال تعدين الذهب الحرفي والضيق النطاق، واكتساب رؤية للمفاهيم القائمة لدى عمال التعدين وأفراد أسرهم عن المخاطر المرتبطة بالتعدين، وتقييم الجاهزية والقدرة النسبيتين لدى الأنظمة الصحية المحلية للاستجابة للمشاكل الصحية المتعلقة بتعدين الذهب الحرفي والضيق النطاق.</w:t>
      </w:r>
      <w:r>
        <w:t xml:space="preserve"> </w:t>
      </w:r>
    </w:p>
    <w:p w14:paraId="5785E744" w14:textId="68E2A3A7" w:rsidR="00BF2106" w:rsidRPr="00E63DCC" w:rsidRDefault="00BF2106" w:rsidP="00A5640C">
      <w:pPr>
        <w:bidi/>
        <w:rPr>
          <w:rtl/>
        </w:rPr>
      </w:pPr>
      <w:r>
        <w:rPr>
          <w:rFonts w:hint="cs"/>
          <w:rtl/>
        </w:rPr>
        <w:t>يتناول بروتوكول الدراسة الحالي منهجية تقييم الوضع الصحي، والتي تشمل الاستشارات المجتمعية، والمقابلات مع الأفراد وتقييمات المنشآت الصحية.</w:t>
      </w:r>
    </w:p>
    <w:p w14:paraId="351500F9" w14:textId="11805599" w:rsidR="00BF2106" w:rsidRPr="00E63DCC" w:rsidRDefault="00BF2106" w:rsidP="00A5640C">
      <w:pPr>
        <w:bidi/>
        <w:rPr>
          <w:rtl/>
        </w:rPr>
      </w:pPr>
      <w:r>
        <w:rPr>
          <w:rFonts w:hint="cs"/>
          <w:rtl/>
        </w:rPr>
        <w:t>سيتم إجراء تقييم للقدرات المؤسسية لتحديد الجاهزية العامة للنظام الصحي على المستويين الوطني ودون الوطني - ولكن ليس المحلي - للكشف عن المشاكل الصحية المرتبطة بتعدين الذهب الحرفي والضيق النطاق والوقاية منها والتعامل معها ـ بما في ذلك التعرض للزئبق ـ بالتوازي مع تقييم الوضع الصحي.</w:t>
      </w:r>
      <w:r>
        <w:t xml:space="preserve"> </w:t>
      </w:r>
      <w:r>
        <w:rPr>
          <w:rFonts w:hint="cs"/>
          <w:rtl/>
        </w:rPr>
        <w:t>على أنه لم يتم تناول تقييم القدرات المؤسسية في بروتوكول الدراسة الحالي.</w:t>
      </w:r>
    </w:p>
    <w:p w14:paraId="2418A9BE" w14:textId="7D5444A3" w:rsidR="008A0373" w:rsidRPr="00E63DCC" w:rsidRDefault="00D61F79" w:rsidP="00A5640C">
      <w:pPr>
        <w:pStyle w:val="Heading2"/>
        <w:bidi/>
        <w:rPr>
          <w:rtl/>
        </w:rPr>
      </w:pPr>
      <w:bookmarkStart w:id="16" w:name="_Toc67301047"/>
      <w:bookmarkStart w:id="17" w:name="_Toc71095491"/>
      <w:r>
        <w:rPr>
          <w:rFonts w:hint="cs"/>
          <w:rtl/>
        </w:rPr>
        <w:t>1.3 الارتباطات السياسية والمشاركة السياسية</w:t>
      </w:r>
      <w:bookmarkEnd w:id="16"/>
      <w:bookmarkEnd w:id="17"/>
    </w:p>
    <w:p w14:paraId="078E44C8" w14:textId="254FA413" w:rsidR="005F2A7F" w:rsidRPr="00E63DCC" w:rsidRDefault="005F2A7F" w:rsidP="00A5640C">
      <w:pPr>
        <w:bidi/>
        <w:rPr>
          <w:rtl/>
        </w:rPr>
      </w:pPr>
      <w:r>
        <w:rPr>
          <w:rFonts w:hint="cs"/>
          <w:rtl/>
        </w:rPr>
        <w:t xml:space="preserve">[يُرجى هنا وصف مشاركة بلدك في اتفاقية </w:t>
      </w:r>
      <w:proofErr w:type="spellStart"/>
      <w:r>
        <w:rPr>
          <w:rFonts w:hint="cs"/>
          <w:rtl/>
        </w:rPr>
        <w:t>ميناماتا</w:t>
      </w:r>
      <w:proofErr w:type="spellEnd"/>
      <w:r>
        <w:rPr>
          <w:rFonts w:hint="cs"/>
          <w:rtl/>
        </w:rPr>
        <w:t xml:space="preserve"> والارتباطات والأدوار والمسؤوليات السياسية لجميع الهيئات الوطنية والدولية ذات الصلة في سياق الاتفاقية (مثل الوزارات ومنظمة الصحة العالمية وغيرها).]</w:t>
      </w:r>
    </w:p>
    <w:p w14:paraId="1A18FB61" w14:textId="2B8E5279" w:rsidR="005F2A7F" w:rsidRPr="00482197" w:rsidRDefault="005F2A7F" w:rsidP="009E4347">
      <w:pPr>
        <w:pStyle w:val="Normalboldhead"/>
        <w:bidi/>
        <w:rPr>
          <w:b w:val="0"/>
          <w:bCs/>
          <w:rtl/>
        </w:rPr>
      </w:pPr>
      <w:r w:rsidRPr="00482197">
        <w:rPr>
          <w:rFonts w:hint="cs"/>
          <w:b w:val="0"/>
          <w:bCs/>
          <w:rtl/>
        </w:rPr>
        <w:lastRenderedPageBreak/>
        <w:t xml:space="preserve">مثال من نيجيريا [يُحذف في </w:t>
      </w:r>
      <w:r w:rsidR="00910488">
        <w:rPr>
          <w:rFonts w:hint="cs"/>
          <w:b w:val="0"/>
          <w:bCs/>
          <w:rtl/>
        </w:rPr>
        <w:t xml:space="preserve">الإصدار </w:t>
      </w:r>
      <w:r w:rsidR="007D0B64" w:rsidRPr="00482197">
        <w:rPr>
          <w:rFonts w:hint="cs"/>
          <w:b w:val="0"/>
          <w:bCs/>
          <w:rtl/>
        </w:rPr>
        <w:t>ال</w:t>
      </w:r>
      <w:r w:rsidR="007D0B64">
        <w:rPr>
          <w:rFonts w:hint="cs"/>
          <w:b w:val="0"/>
          <w:bCs/>
          <w:rtl/>
        </w:rPr>
        <w:t>نهائي</w:t>
      </w:r>
      <w:r w:rsidR="007D0B64" w:rsidRPr="00482197">
        <w:rPr>
          <w:rFonts w:hint="cs"/>
          <w:b w:val="0"/>
          <w:bCs/>
          <w:rtl/>
        </w:rPr>
        <w:t xml:space="preserve"> </w:t>
      </w:r>
      <w:r w:rsidRPr="00482197">
        <w:rPr>
          <w:rFonts w:hint="cs"/>
          <w:b w:val="0"/>
          <w:bCs/>
          <w:rtl/>
        </w:rPr>
        <w:t>من بروتوكول دراستك]:</w:t>
      </w:r>
      <w:r w:rsidRPr="00482197">
        <w:rPr>
          <w:b w:val="0"/>
          <w:bCs/>
        </w:rPr>
        <w:t xml:space="preserve"> </w:t>
      </w:r>
    </w:p>
    <w:p w14:paraId="2BA996C9" w14:textId="5BB76047" w:rsidR="005F2A7F" w:rsidRPr="00E63DCC" w:rsidRDefault="005F2A7F" w:rsidP="00A5640C">
      <w:pPr>
        <w:bidi/>
        <w:rPr>
          <w:rtl/>
        </w:rPr>
      </w:pPr>
      <w:r>
        <w:rPr>
          <w:rFonts w:hint="cs"/>
          <w:rtl/>
        </w:rPr>
        <w:t xml:space="preserve">وقّعت نيجيريا على اتفاقية </w:t>
      </w:r>
      <w:proofErr w:type="spellStart"/>
      <w:r>
        <w:rPr>
          <w:rFonts w:hint="cs"/>
          <w:rtl/>
        </w:rPr>
        <w:t>ميناماتا</w:t>
      </w:r>
      <w:proofErr w:type="spellEnd"/>
      <w:r>
        <w:rPr>
          <w:rFonts w:hint="cs"/>
          <w:rtl/>
        </w:rPr>
        <w:t xml:space="preserve"> في عام 2013.</w:t>
      </w:r>
      <w:r>
        <w:t xml:space="preserve"> </w:t>
      </w:r>
      <w:r>
        <w:rPr>
          <w:rFonts w:hint="cs"/>
          <w:rtl/>
        </w:rPr>
        <w:t xml:space="preserve">كما أخطرت الدولة رسميًا أمانة اتفاقية </w:t>
      </w:r>
      <w:proofErr w:type="spellStart"/>
      <w:r>
        <w:rPr>
          <w:rFonts w:hint="cs"/>
          <w:rtl/>
        </w:rPr>
        <w:t>ميناماتا</w:t>
      </w:r>
      <w:proofErr w:type="spellEnd"/>
      <w:r>
        <w:rPr>
          <w:rFonts w:hint="cs"/>
          <w:rtl/>
        </w:rPr>
        <w:t xml:space="preserve"> بوجود التعدين الحرفي والضيق النطاق بقدر غير محدود على أراضيها.</w:t>
      </w:r>
      <w:r>
        <w:t xml:space="preserve"> </w:t>
      </w:r>
      <w:r>
        <w:rPr>
          <w:rFonts w:hint="cs"/>
          <w:rtl/>
        </w:rPr>
        <w:t>وبذلك فإن نيجيريا ملزمة بوضع خطة عمل وطنية تتضمن استراتيجية للصحة العمومية بشأن تعرض عمال تعدين الذهب الحرفي والضيق النطاق ومجتمعاتهم المحلية للزئبق.</w:t>
      </w:r>
    </w:p>
    <w:p w14:paraId="240A639B" w14:textId="78D5CAD1" w:rsidR="005F2A7F" w:rsidRPr="00E63DCC" w:rsidRDefault="005F2A7F" w:rsidP="00A5640C">
      <w:pPr>
        <w:bidi/>
        <w:rPr>
          <w:rtl/>
        </w:rPr>
      </w:pPr>
      <w:r>
        <w:rPr>
          <w:rFonts w:hint="cs"/>
          <w:rtl/>
        </w:rPr>
        <w:t>بموجب الاتفاقية، يجب أن يتم اعتماد خطط العمل الوطنية هذه رسميًا من قبل الحكومة المعنية وتقديمها إلى أمانة الاتفاقية في موعد لا يتجاوز ثلاث سنوات بعد دخول الاتفاقية حيز التنفيذ أو بعد ثلاث سنوات من إرسال الإخطار إلى الأمانة، أيهما يأتي لاحقًا.</w:t>
      </w:r>
      <w:r>
        <w:t xml:space="preserve"> </w:t>
      </w:r>
      <w:r>
        <w:rPr>
          <w:rFonts w:hint="cs"/>
          <w:rtl/>
        </w:rPr>
        <w:t xml:space="preserve">وقد دخلت اتفاقية </w:t>
      </w:r>
      <w:proofErr w:type="spellStart"/>
      <w:r>
        <w:rPr>
          <w:rFonts w:hint="cs"/>
          <w:rtl/>
        </w:rPr>
        <w:t>ميناماتا</w:t>
      </w:r>
      <w:proofErr w:type="spellEnd"/>
      <w:r>
        <w:rPr>
          <w:rFonts w:hint="cs"/>
          <w:rtl/>
        </w:rPr>
        <w:t xml:space="preserve"> بشأن الزئبق حيز التنفيذ في 16 أغسطس عام 2017.</w:t>
      </w:r>
      <w:r>
        <w:t xml:space="preserve"> </w:t>
      </w:r>
    </w:p>
    <w:p w14:paraId="32150656" w14:textId="40560E25" w:rsidR="005F2A7F" w:rsidRPr="00E63DCC" w:rsidRDefault="005F2A7F" w:rsidP="00A5640C">
      <w:pPr>
        <w:bidi/>
        <w:rPr>
          <w:rtl/>
        </w:rPr>
      </w:pPr>
      <w:r>
        <w:rPr>
          <w:rFonts w:hint="cs"/>
          <w:rtl/>
        </w:rPr>
        <w:t>أنشطة برنامج العمل الوطني جارية رسميًا في نيجيريا.</w:t>
      </w:r>
      <w:r>
        <w:t xml:space="preserve"> </w:t>
      </w:r>
      <w:r>
        <w:rPr>
          <w:rFonts w:hint="cs"/>
          <w:rtl/>
        </w:rPr>
        <w:t>وتدعم منظمة الأمم المتحدة للتنمية الصناعية (</w:t>
      </w:r>
      <w:r>
        <w:t>UNIDO</w:t>
      </w:r>
      <w:r>
        <w:rPr>
          <w:rFonts w:hint="cs"/>
          <w:rtl/>
        </w:rPr>
        <w:t>) هذه العملية بتمويل من مرفق البيئة العالمي.</w:t>
      </w:r>
      <w:r>
        <w:t xml:space="preserve"> </w:t>
      </w:r>
      <w:r>
        <w:rPr>
          <w:rFonts w:hint="cs"/>
          <w:rtl/>
        </w:rPr>
        <w:t>بناءً على طلب منظمة الأمم المتحدة للتنمية الصناعية، وافقت منظمة الصحة العالمية على المشاركة (مع وزارة الصحة المعنية) في تنفيذ المكونات الصحية لأنشطة خطة العمل الوطنية التي يجري تنفيذها في كل بلد.</w:t>
      </w:r>
    </w:p>
    <w:p w14:paraId="55D953A2" w14:textId="76CE74DD" w:rsidR="005F2A7F" w:rsidRPr="00E63DCC" w:rsidRDefault="005F2A7F" w:rsidP="00A5640C">
      <w:pPr>
        <w:bidi/>
        <w:rPr>
          <w:rtl/>
        </w:rPr>
      </w:pPr>
      <w:r>
        <w:rPr>
          <w:rFonts w:hint="cs"/>
          <w:rtl/>
        </w:rPr>
        <w:t>عينت منظمة الأمم المتحدة للتنمية الصناعية والحكومة النيجيرية الوزارة الفيدرالية للبيئة لتكون الوكالة الوطنية الرئيسية للتنسيق لهذا المشروع وتنفيذه.</w:t>
      </w:r>
      <w:r>
        <w:t xml:space="preserve"> </w:t>
      </w:r>
      <w:r>
        <w:rPr>
          <w:rFonts w:hint="cs"/>
          <w:rtl/>
        </w:rPr>
        <w:t xml:space="preserve">الوزارة الفيدرالية للبيئة هي الهيئة الإدارية المعنية بحماية البيئة والهيئة الوطنية المعينة في اتفاقية </w:t>
      </w:r>
      <w:proofErr w:type="spellStart"/>
      <w:r>
        <w:rPr>
          <w:rFonts w:hint="cs"/>
          <w:rtl/>
        </w:rPr>
        <w:t>ميناماتا</w:t>
      </w:r>
      <w:proofErr w:type="spellEnd"/>
      <w:r>
        <w:rPr>
          <w:rFonts w:hint="cs"/>
          <w:rtl/>
        </w:rPr>
        <w:t xml:space="preserve"> بشأن الزئبق.</w:t>
      </w:r>
    </w:p>
    <w:p w14:paraId="0D6A417A" w14:textId="5BEF08E6" w:rsidR="005F2A7F" w:rsidRPr="00E63DCC" w:rsidRDefault="005F2A7F" w:rsidP="00A5640C">
      <w:pPr>
        <w:bidi/>
        <w:rPr>
          <w:rtl/>
        </w:rPr>
      </w:pPr>
      <w:r>
        <w:rPr>
          <w:rFonts w:hint="cs"/>
          <w:rtl/>
        </w:rPr>
        <w:t>ستكون وزارة تنمية المعادن الصلبة ـ وهي المؤسسة المسؤولة عن الأنشطة المتعلقة بتعدين الذهب الحرفي والضيق النطاق في نيجيريا ـ مسؤولة عن وضع التقييم والأساس الوطنيين للتعدين.</w:t>
      </w:r>
      <w:r>
        <w:t xml:space="preserve"> </w:t>
      </w:r>
    </w:p>
    <w:p w14:paraId="405E8DB5" w14:textId="69AFA084" w:rsidR="005F2A7F" w:rsidRPr="00E63DCC" w:rsidRDefault="005F2A7F" w:rsidP="00A5640C">
      <w:pPr>
        <w:bidi/>
        <w:rPr>
          <w:rtl/>
        </w:rPr>
      </w:pPr>
      <w:r>
        <w:rPr>
          <w:rFonts w:hint="cs"/>
          <w:rtl/>
        </w:rPr>
        <w:t>منظمة الصحة العالمية، التي تعمل بتنسيق وتعاون وثيقين مع وزارة الصحة، هي الوكالة المنفذة للمكونات الصحية للمشروع.</w:t>
      </w:r>
      <w:r>
        <w:t xml:space="preserve"> </w:t>
      </w:r>
    </w:p>
    <w:p w14:paraId="3A98B7EB" w14:textId="45326F57" w:rsidR="005F2A7F" w:rsidRPr="00E63DCC" w:rsidRDefault="005F2A7F" w:rsidP="00A5640C">
      <w:pPr>
        <w:bidi/>
        <w:rPr>
          <w:rtl/>
        </w:rPr>
      </w:pPr>
      <w:r>
        <w:rPr>
          <w:rFonts w:hint="cs"/>
          <w:rtl/>
        </w:rPr>
        <w:t>منظمة الأمم المتحدة للتنمية الصناعية هي الوكالة المنفذة التابعة لمرفق البيئة العالمي في المشروع.</w:t>
      </w:r>
      <w:r>
        <w:t xml:space="preserve"> </w:t>
      </w:r>
      <w:r>
        <w:rPr>
          <w:rFonts w:hint="cs"/>
          <w:rtl/>
        </w:rPr>
        <w:t>سيقدم مدير المشروع في منظمة الأمم المتحدة للتنمية الصناعية المشورة التقنية وسينسق أنشطة المشروع ويراقبها.</w:t>
      </w:r>
      <w:r>
        <w:t xml:space="preserve"> </w:t>
      </w:r>
      <w:r>
        <w:rPr>
          <w:rFonts w:hint="cs"/>
          <w:rtl/>
        </w:rPr>
        <w:t>ينبغي مراجعة جميع خطط العمل والمسؤوليات والجداول الزمنية والميزانية والموافقة عليها من قبل مدير المشروع في منظمة الأمم المتحدة للتنمية الصناعية لضمان تنفيذ المشروع بشكل سريع وآمن ودقيق.</w:t>
      </w:r>
    </w:p>
    <w:p w14:paraId="2ECE3EC2" w14:textId="3F18E8A2" w:rsidR="00301BEE" w:rsidRPr="00E63DCC" w:rsidRDefault="00301BEE">
      <w:pPr>
        <w:bidi/>
        <w:spacing w:after="0" w:line="240" w:lineRule="auto"/>
        <w:rPr>
          <w:rFonts w:eastAsia="Times New Roman"/>
          <w:b/>
          <w:bCs/>
          <w:color w:val="800000"/>
          <w:kern w:val="32"/>
          <w:sz w:val="32"/>
          <w:szCs w:val="28"/>
          <w:rtl/>
        </w:rPr>
      </w:pPr>
      <w:r>
        <w:rPr>
          <w:rFonts w:hint="cs"/>
          <w:rtl/>
        </w:rPr>
        <w:br w:type="page"/>
      </w:r>
    </w:p>
    <w:p w14:paraId="394A72D7" w14:textId="67D3DECF" w:rsidR="008901A7" w:rsidRPr="00E63DCC" w:rsidRDefault="00301BEE" w:rsidP="00A5640C">
      <w:pPr>
        <w:pStyle w:val="Heading1"/>
        <w:bidi/>
        <w:rPr>
          <w:rtl/>
        </w:rPr>
      </w:pPr>
      <w:bookmarkStart w:id="18" w:name="_Toc245371504"/>
      <w:bookmarkStart w:id="19" w:name="_Toc283557236"/>
      <w:bookmarkStart w:id="20" w:name="_Toc67301048"/>
      <w:bookmarkStart w:id="21" w:name="_Toc71095492"/>
      <w:bookmarkEnd w:id="9"/>
      <w:r>
        <w:rPr>
          <w:rFonts w:hint="cs"/>
          <w:rtl/>
        </w:rPr>
        <w:lastRenderedPageBreak/>
        <w:t>2.</w:t>
      </w:r>
      <w:r>
        <w:rPr>
          <w:rFonts w:hint="cs"/>
          <w:rtl/>
        </w:rPr>
        <w:tab/>
        <w:t>الغاية والأهداف</w:t>
      </w:r>
      <w:bookmarkEnd w:id="18"/>
      <w:bookmarkEnd w:id="19"/>
      <w:bookmarkEnd w:id="20"/>
      <w:bookmarkEnd w:id="21"/>
    </w:p>
    <w:p w14:paraId="788CA110" w14:textId="4A9B679F" w:rsidR="008F7334" w:rsidRPr="00E63DCC" w:rsidRDefault="008F7334" w:rsidP="00A5640C">
      <w:pPr>
        <w:bidi/>
        <w:rPr>
          <w:rtl/>
        </w:rPr>
      </w:pPr>
      <w:r>
        <w:rPr>
          <w:rFonts w:hint="cs"/>
          <w:rtl/>
        </w:rPr>
        <w:t>تتنوع مواقع ومجتمعات تعدين الذهب الحرفي والضيق النطاق، وغالبًا ما تتسم بأنها بعيدة نسبيًا مع ضعف الوصول إلى مياه الشرب الآمنة والصرف الصحي الكافي والرعاية الصحية.</w:t>
      </w:r>
      <w:r>
        <w:t xml:space="preserve"> </w:t>
      </w:r>
      <w:r>
        <w:rPr>
          <w:rFonts w:hint="cs"/>
          <w:rtl/>
        </w:rPr>
        <w:t>في حين أن مناطق تعدين الذهب الحرفي والضيق النطاق مشمولة عمومًا بالنظام الصحي المحيط، فإن إمكانية الوصول ودرجة القبول والقدرة على تحمل تكاليف الرعاية الصحية لدى عمال التعدين وأسرهم والمجتمعات الأوسع نطاقًا تعتمد على السياق إلى حد كبير.</w:t>
      </w:r>
      <w:r>
        <w:t xml:space="preserve"> </w:t>
      </w:r>
      <w:r>
        <w:rPr>
          <w:rFonts w:hint="cs"/>
          <w:rtl/>
        </w:rPr>
        <w:t>إن التوصل إلى فهم أفضل لأنظمة الرعاية الصحية في مناطق تعدين الذهب الحرفي والضيق النطاق هو عنصر أساسي في الدراسة الحالية، وبالتالي لا يوجد هنا وصف مفصل لنوع نظام الرعاية الصحية في مواقع الدراسة.</w:t>
      </w:r>
    </w:p>
    <w:p w14:paraId="2FA4226C" w14:textId="62B67B7E" w:rsidR="00B35AC0" w:rsidRPr="00E63DCC" w:rsidRDefault="00B35AC0" w:rsidP="00A5640C">
      <w:pPr>
        <w:bidi/>
        <w:rPr>
          <w:rtl/>
        </w:rPr>
      </w:pPr>
      <w:r>
        <w:rPr>
          <w:rFonts w:hint="cs"/>
          <w:rtl/>
        </w:rPr>
        <w:t>إن الهدف العام لتقييم الوضع الصحي الذي سيتم إجراؤه في [اسم البلد] هو إعلام الوكالات الحكومية (الصحة وغيرها) المعنية بتطوير مكون الصحة العامة في خطة العمل الوطنية.</w:t>
      </w:r>
      <w:r>
        <w:t xml:space="preserve"> </w:t>
      </w:r>
      <w:r>
        <w:rPr>
          <w:rFonts w:hint="cs"/>
          <w:rtl/>
        </w:rPr>
        <w:t>في هذا السياق، يسعى التقييم إلى وصف نطاق مشاكل الصحة العامة المرتبطة بتعدين الذهب الحرفي والضيق النطاق، وتوصيف سلوكيات الاستشارات الصحية لدى عمال التعدين، واكتساب رؤية عن المفاهيم لدى عمال التعدين وأفراد أسرهم عن المخاطر الصحية المرتبطة بالتعدين، وتقييم قدرة الأنظمة الصحية المحلية على التكيف مع التحديات التي يفرضها التعدين.</w:t>
      </w:r>
    </w:p>
    <w:p w14:paraId="4340C8E6" w14:textId="272D71CD" w:rsidR="00B35AC0" w:rsidRPr="00E63DCC" w:rsidRDefault="00B35AC0" w:rsidP="00A5640C">
      <w:pPr>
        <w:bidi/>
        <w:rPr>
          <w:rtl/>
        </w:rPr>
      </w:pPr>
      <w:r>
        <w:rPr>
          <w:rFonts w:hint="cs"/>
          <w:rtl/>
        </w:rPr>
        <w:t>تتضمن خطوط الاستفسار (والفرضيات الداعمة) المحددة لتقييم الوضع الصحي ما يلي:</w:t>
      </w:r>
    </w:p>
    <w:p w14:paraId="0C49B90E" w14:textId="54D0E0AB" w:rsidR="00B62F2E" w:rsidRPr="00E63DCC" w:rsidRDefault="00B62F2E" w:rsidP="00A5640C">
      <w:pPr>
        <w:bidi/>
        <w:rPr>
          <w:rtl/>
        </w:rPr>
      </w:pPr>
      <w:r>
        <w:rPr>
          <w:rFonts w:hint="cs"/>
          <w:rtl/>
        </w:rPr>
        <w:t>[يُرجى زيادة تطوير هذا القسم من خلال تعديل الفقرات أعلاه وإضافة أسئلة وفرضيات بحثك المحددة.]</w:t>
      </w:r>
    </w:p>
    <w:p w14:paraId="15738889" w14:textId="66DC4EBC" w:rsidR="00B62F2E" w:rsidRPr="00482197" w:rsidRDefault="00B62F2E" w:rsidP="009E4347">
      <w:pPr>
        <w:pStyle w:val="Normalboldhead"/>
        <w:bidi/>
        <w:rPr>
          <w:b w:val="0"/>
          <w:bCs/>
          <w:rtl/>
        </w:rPr>
      </w:pPr>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p>
    <w:p w14:paraId="42FFC643" w14:textId="45D5B8F7" w:rsidR="00B62F2E" w:rsidRPr="00E63DCC" w:rsidRDefault="00B62F2E" w:rsidP="00337BFD">
      <w:pPr>
        <w:pStyle w:val="Normalitalic"/>
        <w:bidi/>
        <w:rPr>
          <w:rtl/>
        </w:rPr>
      </w:pPr>
      <w:r>
        <w:rPr>
          <w:rFonts w:hint="cs"/>
          <w:rtl/>
        </w:rPr>
        <w:t>وصف المشاكل الصحية كما أبلغ عنها عمال تعدين الذهب الحرفي والضيق النطاق ومقدمو الرعاية الصحية الذين يعيشون ويعملون في مناطق التعدين:</w:t>
      </w:r>
    </w:p>
    <w:p w14:paraId="6965BEB3" w14:textId="77777777" w:rsidR="00B62F2E" w:rsidRPr="00E63DCC" w:rsidRDefault="00B62F2E" w:rsidP="00337BFD">
      <w:pPr>
        <w:pStyle w:val="Bulletlist"/>
        <w:bidi/>
        <w:rPr>
          <w:rtl/>
        </w:rPr>
      </w:pPr>
      <w:r>
        <w:rPr>
          <w:rFonts w:hint="cs"/>
          <w:rtl/>
        </w:rPr>
        <w:t>الفرضية 1:</w:t>
      </w:r>
      <w:r>
        <w:t xml:space="preserve"> </w:t>
      </w:r>
      <w:r>
        <w:rPr>
          <w:rFonts w:hint="cs"/>
          <w:rtl/>
        </w:rPr>
        <w:t>هناك اختلافات بين المخاوف الصحية ذات الأولوية التي أبلغ عنها عمال تعدين الذهب الحرفي والضيق النطاق وتلك التي أبلغ بها السكان المحليون (عمومًا) كما أفاد بها مقدمو الرعاية الصحية وكما تنعكس في الإحصاءات الصحية المحلية (حيثما أمكن ذلك).</w:t>
      </w:r>
    </w:p>
    <w:p w14:paraId="7F51B902" w14:textId="1369B0A7" w:rsidR="00B62F2E" w:rsidRPr="00E63DCC" w:rsidRDefault="00B62F2E" w:rsidP="00337BFD">
      <w:pPr>
        <w:pStyle w:val="Normalitalic"/>
        <w:bidi/>
        <w:rPr>
          <w:rtl/>
        </w:rPr>
      </w:pPr>
      <w:r>
        <w:rPr>
          <w:rFonts w:hint="cs"/>
          <w:rtl/>
        </w:rPr>
        <w:t>وصف المفاهيم لدى عمال تعدين الذهب الحرفي والضيق النطاق عن المخاطر الصحية:</w:t>
      </w:r>
    </w:p>
    <w:p w14:paraId="7D3375B6" w14:textId="26ACFAD9" w:rsidR="00B62F2E" w:rsidRPr="00E63DCC" w:rsidRDefault="00B62F2E" w:rsidP="00337BFD">
      <w:pPr>
        <w:pStyle w:val="Bulletlist"/>
        <w:bidi/>
        <w:rPr>
          <w:rtl/>
        </w:rPr>
      </w:pPr>
      <w:r>
        <w:rPr>
          <w:rFonts w:hint="cs"/>
          <w:rtl/>
        </w:rPr>
        <w:t>الفرضية 2:</w:t>
      </w:r>
      <w:r>
        <w:t xml:space="preserve"> </w:t>
      </w:r>
      <w:r>
        <w:rPr>
          <w:rFonts w:hint="cs"/>
          <w:rtl/>
        </w:rPr>
        <w:t>إن فهم عمال تعدين الذهب الحرفي والضيق النطاق وتصوراتهم لأخطار أنشطة التعدين لا تجبرهم على تبني ممارسات أكثر أمانًا أو حفاظًا على البيئة أو السعي لممارسة نشاط آخر.</w:t>
      </w:r>
    </w:p>
    <w:p w14:paraId="3A37CE37" w14:textId="4BC4CD04" w:rsidR="00B62F2E" w:rsidRPr="00E63DCC" w:rsidRDefault="00B62F2E" w:rsidP="00337BFD">
      <w:pPr>
        <w:pStyle w:val="Normalitalic"/>
        <w:bidi/>
        <w:rPr>
          <w:rtl/>
        </w:rPr>
      </w:pPr>
      <w:r>
        <w:rPr>
          <w:rFonts w:hint="cs"/>
          <w:rtl/>
        </w:rPr>
        <w:t>وصف الوصول إلى الرعاية الصحية وأنماط سلوك طلب الرعاية الصحية والتحديات المرتبطة بها:</w:t>
      </w:r>
    </w:p>
    <w:p w14:paraId="09EEDAA4" w14:textId="77777777" w:rsidR="00B62F2E" w:rsidRPr="00E63DCC" w:rsidRDefault="00B62F2E" w:rsidP="00337BFD">
      <w:pPr>
        <w:pStyle w:val="Bulletlist"/>
        <w:bidi/>
        <w:rPr>
          <w:rtl/>
        </w:rPr>
      </w:pPr>
      <w:r>
        <w:rPr>
          <w:rFonts w:hint="cs"/>
          <w:rtl/>
        </w:rPr>
        <w:t>الفرضية 3:</w:t>
      </w:r>
      <w:r>
        <w:t xml:space="preserve"> </w:t>
      </w:r>
      <w:r>
        <w:rPr>
          <w:rFonts w:hint="cs"/>
          <w:rtl/>
        </w:rPr>
        <w:t>يواجه عمال تعدين الذهب الحرفي والضيق النطاق وأسرهم والمجتمعات الأوسع نطاقًا تحديات في الوصول إلى الرعاية الصحية.</w:t>
      </w:r>
    </w:p>
    <w:p w14:paraId="2B468412" w14:textId="57F9DD15" w:rsidR="00B62F2E" w:rsidRPr="00E63DCC" w:rsidRDefault="00B62F2E" w:rsidP="00337BFD">
      <w:pPr>
        <w:pStyle w:val="Normalitalic"/>
        <w:bidi/>
        <w:rPr>
          <w:rtl/>
        </w:rPr>
      </w:pPr>
      <w:r>
        <w:rPr>
          <w:rFonts w:hint="cs"/>
          <w:rtl/>
        </w:rPr>
        <w:t>وصف قدرة واستعداد النظام الصحي وتأهيل مقدمي الرعاية الصحية لمعالجة المشاكل الصحية الخاصة بعمال تعدين الذهب الحرفي والضيق النطاق، وأسرهم والمجتمعات الأوسع:</w:t>
      </w:r>
    </w:p>
    <w:p w14:paraId="4B456CBF" w14:textId="3DA17AF5" w:rsidR="00B62F2E" w:rsidRPr="00E63DCC" w:rsidRDefault="00B62F2E" w:rsidP="00337BFD">
      <w:pPr>
        <w:pStyle w:val="Bulletlist"/>
        <w:bidi/>
        <w:rPr>
          <w:rtl/>
        </w:rPr>
      </w:pPr>
      <w:r>
        <w:rPr>
          <w:rFonts w:hint="cs"/>
          <w:rtl/>
        </w:rPr>
        <w:t>الفرضية 4:</w:t>
      </w:r>
      <w:r>
        <w:t xml:space="preserve"> </w:t>
      </w:r>
      <w:r>
        <w:rPr>
          <w:rFonts w:hint="cs"/>
          <w:rtl/>
        </w:rPr>
        <w:t>إن نظام الرعاية الصحية، ولا سيما على المستوى المحلي (بالقرب من مجتمعات تعدين الذهب الحرفي والضيق النطاق)، غير مؤهل بشكل كافٍ لمعالجة المشاكل الصحية لدى عمال التعدين.</w:t>
      </w:r>
      <w:r>
        <w:t xml:space="preserve"> </w:t>
      </w:r>
      <w:r>
        <w:rPr>
          <w:rFonts w:hint="cs"/>
          <w:rtl/>
        </w:rPr>
        <w:t>قد توجد أيضًا اختلافات إقليمية ومحلية في القدرات.</w:t>
      </w:r>
    </w:p>
    <w:p w14:paraId="4048D928" w14:textId="5470750A" w:rsidR="00B62F2E" w:rsidRPr="00E63DCC" w:rsidRDefault="00B62F2E" w:rsidP="00A5640C">
      <w:pPr>
        <w:bidi/>
        <w:rPr>
          <w:rtl/>
        </w:rPr>
      </w:pPr>
      <w:r>
        <w:rPr>
          <w:rFonts w:hint="cs"/>
          <w:rtl/>
        </w:rPr>
        <w:t>ستعمل نتائج الأهداف المذكورة أعلاه على إثراء أنشطة التوعية وحماية الصحة المصممة خصيصًا لتلبية الاحتياجات المحلية.</w:t>
      </w:r>
      <w:r>
        <w:t xml:space="preserve"> </w:t>
      </w:r>
      <w:r>
        <w:rPr>
          <w:rFonts w:hint="cs"/>
          <w:rtl/>
        </w:rPr>
        <w:t>وستحدد نوع التأييد المطلوب وفي أي مستوى، وتصميم مواد زيادة الوعي ومحتواها، وطبيعة أنشطة التواصل المحتملة التي سيتم تنفيذها، ومشاركة مختلف أصحاب المصلحة ومسؤولياتهم.</w:t>
      </w:r>
    </w:p>
    <w:p w14:paraId="5210477C" w14:textId="77777777" w:rsidR="00220D80" w:rsidRPr="00E63DCC" w:rsidRDefault="00220D80" w:rsidP="00A5640C">
      <w:pPr>
        <w:bidi/>
        <w:rPr>
          <w:rtl/>
        </w:rPr>
      </w:pPr>
      <w:bookmarkStart w:id="22" w:name="_Toc245371514"/>
      <w:bookmarkStart w:id="23" w:name="_Toc283557240"/>
    </w:p>
    <w:p w14:paraId="5593529C" w14:textId="77777777" w:rsidR="00AE5B84" w:rsidRPr="00E63DCC" w:rsidRDefault="00AE5B84" w:rsidP="00A5640C">
      <w:pPr>
        <w:bidi/>
        <w:rPr>
          <w:rtl/>
        </w:rPr>
      </w:pPr>
      <w:r>
        <w:rPr>
          <w:rFonts w:hint="cs"/>
          <w:rtl/>
        </w:rPr>
        <w:br w:type="page"/>
      </w:r>
    </w:p>
    <w:p w14:paraId="0FD52076" w14:textId="5C5D7AE3" w:rsidR="009E5664" w:rsidRPr="00E63DCC" w:rsidRDefault="002A098E" w:rsidP="00A5640C">
      <w:pPr>
        <w:pStyle w:val="Heading1"/>
        <w:bidi/>
        <w:rPr>
          <w:rtl/>
        </w:rPr>
      </w:pPr>
      <w:bookmarkStart w:id="24" w:name="_Toc67301049"/>
      <w:bookmarkStart w:id="25" w:name="_Toc71095493"/>
      <w:r>
        <w:rPr>
          <w:rFonts w:hint="cs"/>
          <w:rtl/>
        </w:rPr>
        <w:lastRenderedPageBreak/>
        <w:t>3.</w:t>
      </w:r>
      <w:r>
        <w:rPr>
          <w:rFonts w:hint="cs"/>
          <w:rtl/>
        </w:rPr>
        <w:tab/>
        <w:t>المنهجية</w:t>
      </w:r>
      <w:bookmarkEnd w:id="24"/>
      <w:bookmarkEnd w:id="25"/>
    </w:p>
    <w:p w14:paraId="7E4B1705" w14:textId="08B003C6" w:rsidR="008901A7" w:rsidRPr="00E63DCC" w:rsidRDefault="002A098E" w:rsidP="00A5640C">
      <w:pPr>
        <w:pStyle w:val="Heading2"/>
        <w:bidi/>
        <w:rPr>
          <w:rtl/>
        </w:rPr>
      </w:pPr>
      <w:bookmarkStart w:id="26" w:name="_Toc67301050"/>
      <w:bookmarkStart w:id="27" w:name="_Toc71095494"/>
      <w:bookmarkEnd w:id="22"/>
      <w:bookmarkEnd w:id="23"/>
      <w:r>
        <w:rPr>
          <w:rFonts w:hint="cs"/>
          <w:rtl/>
        </w:rPr>
        <w:t>3.1 تصميم الدراسة</w:t>
      </w:r>
      <w:bookmarkEnd w:id="26"/>
      <w:bookmarkEnd w:id="27"/>
    </w:p>
    <w:p w14:paraId="3B0685F1" w14:textId="24B07150" w:rsidR="005C011B" w:rsidRPr="00E63DCC" w:rsidRDefault="00B02670" w:rsidP="00A5640C">
      <w:pPr>
        <w:bidi/>
        <w:rPr>
          <w:rtl/>
        </w:rPr>
      </w:pPr>
      <w:r>
        <w:rPr>
          <w:rFonts w:hint="cs"/>
          <w:rtl/>
        </w:rPr>
        <w:t>الدراسة عبارة عن دراسة قائمة على الملاحظة تطبق تصميم مقطع عرضي وتستخدم نهج أساليب مختلطة.</w:t>
      </w:r>
      <w:r>
        <w:t xml:space="preserve"> </w:t>
      </w:r>
      <w:r>
        <w:rPr>
          <w:rFonts w:hint="cs"/>
          <w:rtl/>
        </w:rPr>
        <w:t>لفحص العلاقة بين عمال تعدين الذهب الحرفي والضيق النطاق والنظام الصحي، سيتم تجميع مجموعة من البيانات النوعية من المقابلات وجولات المناقشات والبيانات الكمية من قطاع الصحة (الإحصاءات الصحية وتقييمات المنشآت الصحية) والملاحظات المباشرة (الشكل 1) </w:t>
      </w:r>
      <w:r>
        <w:rPr>
          <w:rFonts w:hint="cs"/>
          <w:i/>
          <w:iCs/>
          <w:rtl/>
        </w:rPr>
        <w:t>(9)</w:t>
      </w:r>
      <w:r>
        <w:rPr>
          <w:rFonts w:hint="cs"/>
          <w:rtl/>
        </w:rPr>
        <w:t>.</w:t>
      </w:r>
      <w:r>
        <w:t xml:space="preserve"> </w:t>
      </w:r>
      <w:r>
        <w:rPr>
          <w:rFonts w:hint="cs"/>
          <w:rtl/>
        </w:rPr>
        <w:t>مثل هذا المثلث المنهجي، الذي يجمع بين أشكال متعددة من الأدلة ووجهات النظر، هو وسيلة مهمة لتعزيز صحة التوصية، وبالتالي يُعتبر منهجية قوية للاستخدام في تقييم الوضع الصحي </w:t>
      </w:r>
      <w:r>
        <w:rPr>
          <w:rFonts w:hint="cs"/>
          <w:i/>
          <w:iCs/>
          <w:rtl/>
        </w:rPr>
        <w:t xml:space="preserve">(10) </w:t>
      </w:r>
      <w:r>
        <w:rPr>
          <w:rFonts w:hint="cs"/>
          <w:rtl/>
        </w:rPr>
        <w:t>(انظر الملحق 1 للدليل تفصيلي).</w:t>
      </w:r>
      <w:r w:rsidR="005F6542" w:rsidRPr="00E63DCC">
        <w:rPr>
          <w:rStyle w:val="FootnoteReference"/>
          <w:lang w:val="en-GB"/>
        </w:rPr>
        <w:footnoteReference w:id="1"/>
      </w:r>
    </w:p>
    <w:p w14:paraId="1AF41DAF" w14:textId="6D8149C5" w:rsidR="00B02670" w:rsidRPr="00E63DCC" w:rsidRDefault="00B02670" w:rsidP="00A5640C">
      <w:pPr>
        <w:bidi/>
        <w:rPr>
          <w:rtl/>
        </w:rPr>
      </w:pPr>
      <w:r>
        <w:rPr>
          <w:rFonts w:hint="cs"/>
          <w:rtl/>
        </w:rPr>
        <w:t>[يُرجى تكييف هذا القسم مع التصميم المحدد لدراستك عن طريق تعديل الفقرة أعلاه.]</w:t>
      </w:r>
    </w:p>
    <w:p w14:paraId="3FC1B5CE" w14:textId="2CD46787" w:rsidR="00196F92" w:rsidRPr="00482197" w:rsidRDefault="00196F92" w:rsidP="00DA0F5E">
      <w:pPr>
        <w:pStyle w:val="Figurehead"/>
        <w:bidi/>
        <w:rPr>
          <w:b w:val="0"/>
          <w:bCs/>
          <w:rtl/>
        </w:rPr>
      </w:pPr>
      <w:bookmarkStart w:id="28" w:name="_Toc66796461"/>
      <w:r w:rsidRPr="00482197">
        <w:rPr>
          <w:rFonts w:hint="cs"/>
          <w:b w:val="0"/>
          <w:bCs/>
          <w:rtl/>
        </w:rPr>
        <w:t xml:space="preserve">الشكل </w:t>
      </w:r>
      <w:r w:rsidR="00482197" w:rsidRPr="00482197">
        <w:rPr>
          <w:b w:val="0"/>
          <w:bCs/>
        </w:rPr>
        <w:fldChar w:fldCharType="begin"/>
      </w:r>
      <w:r w:rsidR="00482197" w:rsidRPr="00482197">
        <w:rPr>
          <w:b w:val="0"/>
          <w:bCs/>
        </w:rPr>
        <w:instrText xml:space="preserve"> SEQ Figure \* ARABIC </w:instrText>
      </w:r>
      <w:r w:rsidR="00482197" w:rsidRPr="00482197">
        <w:rPr>
          <w:b w:val="0"/>
          <w:bCs/>
        </w:rPr>
        <w:fldChar w:fldCharType="separate"/>
      </w:r>
      <w:r w:rsidR="00482197" w:rsidRPr="00482197">
        <w:rPr>
          <w:b w:val="0"/>
          <w:bCs/>
          <w:noProof/>
        </w:rPr>
        <w:t>1</w:t>
      </w:r>
      <w:r w:rsidR="00482197" w:rsidRPr="00482197">
        <w:rPr>
          <w:b w:val="0"/>
          <w:bCs/>
          <w:noProof/>
        </w:rPr>
        <w:fldChar w:fldCharType="end"/>
      </w:r>
      <w:r w:rsidRPr="00482197">
        <w:rPr>
          <w:rFonts w:hint="cs"/>
          <w:b w:val="0"/>
          <w:bCs/>
          <w:rtl/>
        </w:rPr>
        <w:t>.</w:t>
      </w:r>
      <w:r w:rsidRPr="00482197">
        <w:rPr>
          <w:b w:val="0"/>
          <w:bCs/>
        </w:rPr>
        <w:t xml:space="preserve"> </w:t>
      </w:r>
      <w:r w:rsidRPr="00482197">
        <w:rPr>
          <w:rFonts w:hint="cs"/>
          <w:b w:val="0"/>
          <w:bCs/>
          <w:rtl/>
        </w:rPr>
        <w:t>الفحص المنهجي</w:t>
      </w:r>
      <w:bookmarkEnd w:id="28"/>
      <w:r w:rsidRPr="00482197">
        <w:rPr>
          <w:b w:val="0"/>
          <w:bCs/>
        </w:rPr>
        <w:t xml:space="preserve"> </w:t>
      </w:r>
    </w:p>
    <w:p w14:paraId="4B6ECC18" w14:textId="77777777" w:rsidR="00B02670" w:rsidRPr="00E63DCC" w:rsidRDefault="00B02670" w:rsidP="00A5640C">
      <w:pPr>
        <w:rPr>
          <w:lang w:val="en-GB"/>
        </w:rPr>
      </w:pPr>
    </w:p>
    <w:p w14:paraId="044D3F07" w14:textId="0F81ED98" w:rsidR="00D17821" w:rsidRPr="00E63DCC" w:rsidRDefault="00423AD5" w:rsidP="005F6542">
      <w:pPr>
        <w:bidi/>
        <w:rPr>
          <w:rtl/>
        </w:rPr>
      </w:pPr>
      <w:r>
        <w:rPr>
          <w:rFonts w:hint="cs"/>
          <w:noProof/>
          <w:rtl/>
          <w:lang w:val="de-CH" w:eastAsia="de-CH" w:bidi="ar-SA"/>
        </w:rPr>
        <mc:AlternateContent>
          <mc:Choice Requires="wpg">
            <w:drawing>
              <wp:anchor distT="0" distB="0" distL="114300" distR="114300" simplePos="0" relativeHeight="251665408" behindDoc="0" locked="0" layoutInCell="1" allowOverlap="1" wp14:anchorId="068490ED" wp14:editId="4603CBAD">
                <wp:simplePos x="0" y="0"/>
                <wp:positionH relativeFrom="column">
                  <wp:posOffset>3178810</wp:posOffset>
                </wp:positionH>
                <wp:positionV relativeFrom="paragraph">
                  <wp:posOffset>118272</wp:posOffset>
                </wp:positionV>
                <wp:extent cx="2571750" cy="2057400"/>
                <wp:effectExtent l="0" t="0" r="0" b="0"/>
                <wp:wrapNone/>
                <wp:docPr id="7" name="Group 7"/>
                <wp:cNvGraphicFramePr/>
                <a:graphic xmlns:a="http://schemas.openxmlformats.org/drawingml/2006/main">
                  <a:graphicData uri="http://schemas.microsoft.com/office/word/2010/wordprocessingGroup">
                    <wpg:wgp>
                      <wpg:cNvGrpSpPr/>
                      <wpg:grpSpPr>
                        <a:xfrm>
                          <a:off x="0" y="0"/>
                          <a:ext cx="2571750" cy="2057400"/>
                          <a:chOff x="0" y="0"/>
                          <a:chExt cx="2571750" cy="2057400"/>
                        </a:xfrm>
                      </wpg:grpSpPr>
                      <wps:wsp>
                        <wps:cNvPr id="3" name="Text Box 3"/>
                        <wps:cNvSpPr txBox="1"/>
                        <wps:spPr>
                          <a:xfrm>
                            <a:off x="828675" y="0"/>
                            <a:ext cx="914400" cy="676275"/>
                          </a:xfrm>
                          <a:prstGeom prst="rect">
                            <a:avLst/>
                          </a:prstGeom>
                          <a:noFill/>
                          <a:ln w="6350">
                            <a:noFill/>
                          </a:ln>
                        </wps:spPr>
                        <wps:txbx>
                          <w:txbxContent>
                            <w:p w14:paraId="1A450E7F" w14:textId="04FE1CB5" w:rsidR="00BA34B7" w:rsidRPr="002B2359" w:rsidRDefault="00BA34B7" w:rsidP="002B2359">
                              <w:pPr>
                                <w:bidi/>
                                <w:spacing w:line="240" w:lineRule="auto"/>
                                <w:jc w:val="center"/>
                                <w:rPr>
                                  <w:rFonts w:asciiTheme="minorHAnsi" w:hAnsiTheme="minorHAnsi" w:cstheme="minorHAnsi"/>
                                  <w:color w:val="FFFFFF" w:themeColor="background1"/>
                                  <w:sz w:val="22"/>
                                  <w:rtl/>
                                </w:rPr>
                              </w:pPr>
                              <w:r>
                                <w:rPr>
                                  <w:rFonts w:asciiTheme="minorHAnsi" w:hAnsiTheme="minorHAnsi" w:hint="cs"/>
                                  <w:color w:val="FFFFFF" w:themeColor="background1"/>
                                  <w:sz w:val="22"/>
                                  <w:rtl/>
                                </w:rPr>
                                <w:t>الإحصاءات والأدبيات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695450" y="1552575"/>
                            <a:ext cx="876300" cy="476250"/>
                          </a:xfrm>
                          <a:prstGeom prst="rect">
                            <a:avLst/>
                          </a:prstGeom>
                          <a:noFill/>
                          <a:ln w="6350">
                            <a:noFill/>
                          </a:ln>
                        </wps:spPr>
                        <wps:txbx>
                          <w:txbxContent>
                            <w:p w14:paraId="3EEAAF15" w14:textId="698C68CB" w:rsidR="00BA34B7" w:rsidRPr="002B2359" w:rsidRDefault="00BA34B7" w:rsidP="002B2359">
                              <w:pPr>
                                <w:bidi/>
                                <w:spacing w:line="240" w:lineRule="auto"/>
                                <w:jc w:val="center"/>
                                <w:rPr>
                                  <w:rFonts w:asciiTheme="minorHAnsi" w:hAnsiTheme="minorHAnsi" w:cstheme="minorHAnsi"/>
                                  <w:color w:val="FFFFFF" w:themeColor="background1"/>
                                  <w:sz w:val="22"/>
                                  <w:rtl/>
                                </w:rPr>
                              </w:pPr>
                              <w:r>
                                <w:rPr>
                                  <w:rFonts w:asciiTheme="minorHAnsi" w:hAnsiTheme="minorHAnsi" w:hint="cs"/>
                                  <w:color w:val="FFFFFF" w:themeColor="background1"/>
                                  <w:sz w:val="22"/>
                                  <w:rtl/>
                                </w:rPr>
                                <w:t>الملاحظة المباشرة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581150"/>
                            <a:ext cx="876300" cy="476250"/>
                          </a:xfrm>
                          <a:prstGeom prst="rect">
                            <a:avLst/>
                          </a:prstGeom>
                          <a:noFill/>
                          <a:ln w="6350">
                            <a:noFill/>
                          </a:ln>
                        </wps:spPr>
                        <wps:txbx>
                          <w:txbxContent>
                            <w:p w14:paraId="26D21F00" w14:textId="7721AA9A" w:rsidR="00BA34B7" w:rsidRPr="002B2359" w:rsidRDefault="00BA34B7" w:rsidP="002B2359">
                              <w:pPr>
                                <w:bidi/>
                                <w:spacing w:line="240" w:lineRule="auto"/>
                                <w:jc w:val="center"/>
                                <w:rPr>
                                  <w:rFonts w:asciiTheme="minorHAnsi" w:hAnsiTheme="minorHAnsi" w:cstheme="minorHAnsi"/>
                                  <w:color w:val="FFFFFF" w:themeColor="background1"/>
                                  <w:sz w:val="22"/>
                                  <w:rtl/>
                                </w:rPr>
                              </w:pPr>
                              <w:r>
                                <w:rPr>
                                  <w:rFonts w:asciiTheme="minorHAnsi" w:hAnsiTheme="minorHAnsi" w:hint="cs"/>
                                  <w:color w:val="FFFFFF" w:themeColor="background1"/>
                                  <w:sz w:val="22"/>
                                  <w:rtl/>
                                </w:rPr>
                                <w:t>إسهام أصحاب المصلحة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90550" y="790575"/>
                            <a:ext cx="1390650" cy="1028700"/>
                          </a:xfrm>
                          <a:prstGeom prst="rect">
                            <a:avLst/>
                          </a:prstGeom>
                          <a:noFill/>
                          <a:ln w="6350">
                            <a:noFill/>
                          </a:ln>
                        </wps:spPr>
                        <wps:txbx>
                          <w:txbxContent>
                            <w:p w14:paraId="020B1E6E" w14:textId="6BDD8FE3" w:rsidR="00BA34B7" w:rsidRPr="002B2359" w:rsidRDefault="00BA34B7" w:rsidP="002B2359">
                              <w:pPr>
                                <w:bidi/>
                                <w:spacing w:line="240" w:lineRule="auto"/>
                                <w:jc w:val="center"/>
                                <w:rPr>
                                  <w:rFonts w:asciiTheme="minorHAnsi" w:hAnsiTheme="minorHAnsi" w:cstheme="minorHAnsi"/>
                                  <w:color w:val="000000" w:themeColor="text1"/>
                                  <w:sz w:val="22"/>
                                  <w:rtl/>
                                </w:rPr>
                              </w:pPr>
                              <w:r>
                                <w:rPr>
                                  <w:rFonts w:asciiTheme="minorHAnsi" w:hAnsiTheme="minorHAnsi" w:hint="cs"/>
                                  <w:color w:val="000000" w:themeColor="text1"/>
                                  <w:sz w:val="22"/>
                                  <w:rtl/>
                                </w:rPr>
                                <w:t>معدل وأهمية النتائج والمحددات الصحية المتعلقة بتعدين الذهب الحرفي والضيق النطاق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8490ED" id="Group 7" o:spid="_x0000_s1026" style="position:absolute;left:0;text-align:left;margin-left:250.3pt;margin-top:9.3pt;width:202.5pt;height:162pt;z-index:251665408" coordsize="2571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">
                <v:shapetype id="_x0000_t202" coordsize="21600,21600" o:spt="202" path="m,l,21600r21600,l21600,xe">
                  <v:stroke joinstyle="miter"/>
                  <v:path gradientshapeok="t" o:connecttype="rect"/>
                </v:shapetype>
                <v:shape id="Text Box 3" o:spid="_x0000_s1027" type="#_x0000_t202" style="position:absolute;left:8286;width:9144;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A450E7F" w14:textId="04FE1CB5" w:rsidR="00BA34B7" w:rsidRPr="002B2359" w:rsidRDefault="00BA34B7" w:rsidP="002B2359">
                        <w:pPr>
                          <w:bidi/>
                          <w:spacing w:line="240" w:lineRule="auto"/>
                          <w:jc w:val="center"/>
                          <w:rPr>
                            <w:rFonts w:asciiTheme="minorHAnsi" w:hAnsiTheme="minorHAnsi" w:cstheme="minorHAnsi"/>
                            <w:color w:val="FFFFFF" w:themeColor="background1"/>
                            <w:sz w:val="22"/>
                            <w:rtl/>
                          </w:rPr>
                        </w:pPr>
                        <w:r>
                          <w:rPr>
                            <w:rFonts w:asciiTheme="minorHAnsi" w:hAnsiTheme="minorHAnsi" w:hint="cs"/>
                            <w:color w:val="FFFFFF" w:themeColor="background1"/>
                            <w:sz w:val="22"/>
                            <w:rtl/>
                          </w:rPr>
                          <w:t>الإحصاءات والأدبيات</w:t>
                        </w:r>
                      </w:p>
                    </w:txbxContent>
                  </v:textbox>
                </v:shape>
                <v:shape id="Text Box 4" o:spid="_x0000_s1028" type="#_x0000_t202" style="position:absolute;left:16954;top:15525;width:876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EEAAF15" w14:textId="698C68CB" w:rsidR="00BA34B7" w:rsidRPr="002B2359" w:rsidRDefault="00BA34B7" w:rsidP="002B2359">
                        <w:pPr>
                          <w:bidi/>
                          <w:spacing w:line="240" w:lineRule="auto"/>
                          <w:jc w:val="center"/>
                          <w:rPr>
                            <w:rFonts w:asciiTheme="minorHAnsi" w:hAnsiTheme="minorHAnsi" w:cstheme="minorHAnsi"/>
                            <w:color w:val="FFFFFF" w:themeColor="background1"/>
                            <w:sz w:val="22"/>
                            <w:rtl/>
                          </w:rPr>
                        </w:pPr>
                        <w:r>
                          <w:rPr>
                            <w:rFonts w:asciiTheme="minorHAnsi" w:hAnsiTheme="minorHAnsi" w:hint="cs"/>
                            <w:color w:val="FFFFFF" w:themeColor="background1"/>
                            <w:sz w:val="22"/>
                            <w:rtl/>
                          </w:rPr>
                          <w:t>الملاحظة المباشرة</w:t>
                        </w:r>
                      </w:p>
                    </w:txbxContent>
                  </v:textbox>
                </v:shape>
                <v:shape id="Text Box 5" o:spid="_x0000_s1029" type="#_x0000_t202" style="position:absolute;top:15811;width:876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6D21F00" w14:textId="7721AA9A" w:rsidR="00BA34B7" w:rsidRPr="002B2359" w:rsidRDefault="00BA34B7" w:rsidP="002B2359">
                        <w:pPr>
                          <w:bidi/>
                          <w:spacing w:line="240" w:lineRule="auto"/>
                          <w:jc w:val="center"/>
                          <w:rPr>
                            <w:rFonts w:asciiTheme="minorHAnsi" w:hAnsiTheme="minorHAnsi" w:cstheme="minorHAnsi"/>
                            <w:color w:val="FFFFFF" w:themeColor="background1"/>
                            <w:sz w:val="22"/>
                            <w:rtl/>
                          </w:rPr>
                        </w:pPr>
                        <w:r>
                          <w:rPr>
                            <w:rFonts w:asciiTheme="minorHAnsi" w:hAnsiTheme="minorHAnsi" w:hint="cs"/>
                            <w:color w:val="FFFFFF" w:themeColor="background1"/>
                            <w:sz w:val="22"/>
                            <w:rtl/>
                          </w:rPr>
                          <w:t>إسهام أصحاب المصلحة</w:t>
                        </w:r>
                      </w:p>
                    </w:txbxContent>
                  </v:textbox>
                </v:shape>
                <v:shape id="Text Box 6" o:spid="_x0000_s1030" type="#_x0000_t202" style="position:absolute;left:5905;top:7905;width:1390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20B1E6E" w14:textId="6BDD8FE3" w:rsidR="00BA34B7" w:rsidRPr="002B2359" w:rsidRDefault="00BA34B7" w:rsidP="002B2359">
                        <w:pPr>
                          <w:bidi/>
                          <w:spacing w:line="240" w:lineRule="auto"/>
                          <w:jc w:val="center"/>
                          <w:rPr>
                            <w:rFonts w:asciiTheme="minorHAnsi" w:hAnsiTheme="minorHAnsi" w:cstheme="minorHAnsi"/>
                            <w:color w:val="000000" w:themeColor="text1"/>
                            <w:sz w:val="22"/>
                            <w:rtl/>
                          </w:rPr>
                        </w:pPr>
                        <w:r>
                          <w:rPr>
                            <w:rFonts w:asciiTheme="minorHAnsi" w:hAnsiTheme="minorHAnsi" w:hint="cs"/>
                            <w:color w:val="000000" w:themeColor="text1"/>
                            <w:sz w:val="22"/>
                            <w:rtl/>
                          </w:rPr>
                          <w:t>معدل وأهمية النتائج والمحددات الصحية المتعلقة بتعدين الذهب الحرفي والضيق النطاق</w:t>
                        </w:r>
                      </w:p>
                    </w:txbxContent>
                  </v:textbox>
                </v:shape>
              </v:group>
            </w:pict>
          </mc:Fallback>
        </mc:AlternateContent>
      </w:r>
      <w:r>
        <w:rPr>
          <w:rFonts w:hint="cs"/>
          <w:noProof/>
          <w:rtl/>
          <w:lang w:val="de-CH" w:eastAsia="de-CH" w:bidi="ar-SA"/>
        </w:rPr>
        <w:drawing>
          <wp:inline distT="0" distB="0" distL="0" distR="0" wp14:anchorId="70F46ECD" wp14:editId="4F3348DE">
            <wp:extent cx="2519169" cy="22655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annex 3.png"/>
                    <pic:cNvPicPr/>
                  </pic:nvPicPr>
                  <pic:blipFill>
                    <a:blip r:embed="rId11">
                      <a:extLst>
                        <a:ext uri="{28A0092B-C50C-407E-A947-70E740481C1C}">
                          <a14:useLocalDpi xmlns:a14="http://schemas.microsoft.com/office/drawing/2010/main" val="0"/>
                        </a:ext>
                      </a:extLst>
                    </a:blip>
                    <a:stretch>
                      <a:fillRect/>
                    </a:stretch>
                  </pic:blipFill>
                  <pic:spPr>
                    <a:xfrm>
                      <a:off x="0" y="0"/>
                      <a:ext cx="2519169" cy="2265589"/>
                    </a:xfrm>
                    <a:prstGeom prst="rect">
                      <a:avLst/>
                    </a:prstGeom>
                  </pic:spPr>
                </pic:pic>
              </a:graphicData>
            </a:graphic>
          </wp:inline>
        </w:drawing>
      </w:r>
      <w:r>
        <w:rPr>
          <w:rFonts w:hint="cs"/>
          <w:rtl/>
        </w:rPr>
        <w:br w:type="textWrapping" w:clear="all"/>
      </w:r>
    </w:p>
    <w:p w14:paraId="632E830E" w14:textId="7E150E82" w:rsidR="001B5681" w:rsidRPr="00E63DCC" w:rsidRDefault="00196F92" w:rsidP="008E4408">
      <w:pPr>
        <w:pStyle w:val="Undertext"/>
        <w:bidi/>
        <w:rPr>
          <w:rtl/>
        </w:rPr>
      </w:pPr>
      <w:r>
        <w:rPr>
          <w:rFonts w:hint="cs"/>
          <w:i/>
          <w:iCs/>
          <w:rtl/>
        </w:rPr>
        <w:t>المصدر:</w:t>
      </w:r>
      <w:r>
        <w:t xml:space="preserve"> </w:t>
      </w:r>
      <w:r>
        <w:rPr>
          <w:rFonts w:hint="cs"/>
          <w:rtl/>
        </w:rPr>
        <w:t xml:space="preserve">مقتبس من </w:t>
      </w:r>
      <w:r w:rsidR="007400FB">
        <w:t>Winkler</w:t>
      </w:r>
      <w:r w:rsidR="007400FB">
        <w:rPr>
          <w:rFonts w:hint="cs"/>
          <w:rtl/>
        </w:rPr>
        <w:t xml:space="preserve"> وآخرين</w:t>
      </w:r>
      <w:r>
        <w:rPr>
          <w:rFonts w:hint="cs"/>
          <w:rtl/>
        </w:rPr>
        <w:t>.</w:t>
      </w:r>
      <w:r>
        <w:t xml:space="preserve"> </w:t>
      </w:r>
      <w:r>
        <w:rPr>
          <w:rFonts w:hint="cs"/>
          <w:i/>
          <w:iCs/>
          <w:rtl/>
        </w:rPr>
        <w:t>(9)</w:t>
      </w:r>
      <w:r>
        <w:rPr>
          <w:rFonts w:hint="cs"/>
          <w:rtl/>
        </w:rPr>
        <w:t>.</w:t>
      </w:r>
    </w:p>
    <w:p w14:paraId="0A669C36" w14:textId="5CF5B4EC" w:rsidR="009E5664" w:rsidRPr="00E63DCC" w:rsidRDefault="00196F92" w:rsidP="00A5640C">
      <w:pPr>
        <w:pStyle w:val="Heading2"/>
        <w:bidi/>
        <w:rPr>
          <w:rtl/>
        </w:rPr>
      </w:pPr>
      <w:bookmarkStart w:id="29" w:name="_Toc67301051"/>
      <w:bookmarkStart w:id="30" w:name="_Toc71095495"/>
      <w:bookmarkStart w:id="31" w:name="_Toc283557242"/>
      <w:r>
        <w:rPr>
          <w:rFonts w:hint="cs"/>
          <w:rtl/>
        </w:rPr>
        <w:t>3.2 مواقع الدراسة</w:t>
      </w:r>
      <w:bookmarkEnd w:id="29"/>
      <w:bookmarkEnd w:id="30"/>
    </w:p>
    <w:p w14:paraId="52AD3C51" w14:textId="561D1FDA" w:rsidR="004A0C92" w:rsidRPr="00E63DCC" w:rsidRDefault="004A0C92" w:rsidP="00A5640C">
      <w:pPr>
        <w:bidi/>
        <w:rPr>
          <w:rtl/>
        </w:rPr>
      </w:pPr>
      <w:r>
        <w:rPr>
          <w:rFonts w:hint="cs"/>
          <w:rtl/>
        </w:rPr>
        <w:t>[يُرجى إدراج مواقع دراسة تعدين الذهب الحرفي والضيق النطاق التي اخترتها هنا ووصف معايير الاختيار وأهم ميزات عمال التعدين ومجتمعاته وممارساته في كل موقع.]</w:t>
      </w:r>
    </w:p>
    <w:p w14:paraId="0EC73A2C" w14:textId="08DA7B41" w:rsidR="004A0C92" w:rsidRPr="00482197" w:rsidRDefault="004A0C92" w:rsidP="009E4347">
      <w:pPr>
        <w:pStyle w:val="Normalboldhead"/>
        <w:bidi/>
        <w:rPr>
          <w:b w:val="0"/>
          <w:bCs/>
          <w:rtl/>
        </w:rPr>
      </w:pPr>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p>
    <w:p w14:paraId="5B8B48C7" w14:textId="4565BE55" w:rsidR="004A0C92" w:rsidRPr="00E63DCC" w:rsidRDefault="004A0C92" w:rsidP="00A5640C">
      <w:pPr>
        <w:bidi/>
        <w:rPr>
          <w:rtl/>
        </w:rPr>
      </w:pPr>
      <w:r>
        <w:rPr>
          <w:rFonts w:hint="cs"/>
          <w:rtl/>
        </w:rPr>
        <w:t>سيجري تنفيذ الدراسة في نيجيريا، وهو بلد (أ) لديه أنشطة غير محدودة في مجال تعدين الذهب الحرفي والضيق النطاق على أراضيه؛ (ب) يمر حاليًا بطور وضع برنامج عمل وطني؛ (ج) لديه منظمات غير حكومية (</w:t>
      </w:r>
      <w:r>
        <w:t>NGOs</w:t>
      </w:r>
      <w:r>
        <w:rPr>
          <w:rFonts w:hint="cs"/>
          <w:rtl/>
        </w:rPr>
        <w:t>) وجمعيات مجتمعية ومنظمات مجتمع مدني(</w:t>
      </w:r>
      <w:r>
        <w:t>CSOs</w:t>
      </w:r>
      <w:r>
        <w:rPr>
          <w:rFonts w:hint="cs"/>
          <w:rtl/>
        </w:rPr>
        <w:t>).</w:t>
      </w:r>
    </w:p>
    <w:p w14:paraId="2B9FB915" w14:textId="6D721065" w:rsidR="004A0C92" w:rsidRPr="00E63DCC" w:rsidRDefault="00E15398" w:rsidP="00A5640C">
      <w:pPr>
        <w:bidi/>
        <w:rPr>
          <w:rtl/>
        </w:rPr>
      </w:pPr>
      <w:r>
        <w:rPr>
          <w:rFonts w:hint="cs"/>
          <w:rtl/>
        </w:rPr>
        <w:t>يتألف قطاع تعدين الذهب الحرفي والضيق النطاق في نيجيريا من عمال تعدين غير رسميين يعملون على نطاق ضيق وليسوا مهرة.</w:t>
      </w:r>
      <w:r>
        <w:t xml:space="preserve"> </w:t>
      </w:r>
      <w:r>
        <w:rPr>
          <w:rFonts w:hint="cs"/>
          <w:rtl/>
        </w:rPr>
        <w:t>وهم يستخدمون طرقًا وعمليات بدائية لاستخراج الموارد المعدنية.</w:t>
      </w:r>
      <w:r>
        <w:t xml:space="preserve"> </w:t>
      </w:r>
      <w:r>
        <w:rPr>
          <w:rFonts w:hint="cs"/>
          <w:rtl/>
        </w:rPr>
        <w:t>تقع مناطق تعدين الذهب الحرفي والضيق النطاق عادة في المناطق الريفية النائية التي يغطيها بشكل عام النظام الصحي المحيط.</w:t>
      </w:r>
      <w:r>
        <w:t xml:space="preserve"> </w:t>
      </w:r>
      <w:r>
        <w:rPr>
          <w:rFonts w:hint="cs"/>
          <w:rtl/>
        </w:rPr>
        <w:t xml:space="preserve">لتحقيق الأهداف المذكورة أعلاه، ولا سيما الهدف المتعلق باستعداد النظام الصحي لمعالجة المشاكل الصحية المتعلقة بتعدين الذهب الحرفي والضيق النطاق، سيتم إدراج أقرب مركز عام للصحة الأولية </w:t>
      </w:r>
      <w:r>
        <w:rPr>
          <w:rFonts w:hint="cs"/>
          <w:rtl/>
        </w:rPr>
        <w:lastRenderedPageBreak/>
        <w:t>ومستشفى الإحالة من المستوى الأول المرتبطة به في مناطق التعدين المختارة (وهي مواقع الدراسة).</w:t>
      </w:r>
      <w:r>
        <w:t xml:space="preserve"> </w:t>
      </w:r>
      <w:r>
        <w:rPr>
          <w:rFonts w:hint="cs"/>
          <w:rtl/>
        </w:rPr>
        <w:t>وتجدر الإشارة إلى أن منشآت الرعاية الأولية يمكن أن تشمل مواقع أو مراكز صحية.</w:t>
      </w:r>
    </w:p>
    <w:p w14:paraId="7E09DFC8" w14:textId="06D45903" w:rsidR="004A0C92" w:rsidRPr="00E63DCC" w:rsidRDefault="004A0C92" w:rsidP="00A5640C">
      <w:pPr>
        <w:bidi/>
        <w:rPr>
          <w:rtl/>
        </w:rPr>
      </w:pPr>
      <w:r>
        <w:rPr>
          <w:rFonts w:hint="cs"/>
          <w:rtl/>
        </w:rPr>
        <w:t>الاختيار النهائي للمواقع مدرج في الجدول 1.</w:t>
      </w:r>
    </w:p>
    <w:p w14:paraId="635DA8C6" w14:textId="77777777" w:rsidR="008E4408" w:rsidRPr="00E63DCC" w:rsidRDefault="001450BB" w:rsidP="00A5640C">
      <w:pPr>
        <w:bidi/>
        <w:jc w:val="both"/>
        <w:rPr>
          <w:rtl/>
        </w:rPr>
      </w:pPr>
      <w:r>
        <w:rPr>
          <w:rFonts w:hint="cs"/>
          <w:rtl/>
        </w:rPr>
        <w:t>[مثال للجدول]:</w:t>
      </w:r>
      <w:r>
        <w:t xml:space="preserve"> </w:t>
      </w:r>
    </w:p>
    <w:p w14:paraId="39217696" w14:textId="74B3B33B" w:rsidR="00DC3B3F" w:rsidRPr="00482197" w:rsidRDefault="00DC3B3F" w:rsidP="008E4408">
      <w:pPr>
        <w:pStyle w:val="Tablehead"/>
        <w:bidi/>
        <w:rPr>
          <w:b w:val="0"/>
          <w:bCs/>
          <w:rtl/>
        </w:rPr>
      </w:pPr>
      <w:bookmarkStart w:id="32" w:name="_Toc66796456"/>
      <w:r w:rsidRPr="00482197">
        <w:rPr>
          <w:rFonts w:hint="cs"/>
          <w:b w:val="0"/>
          <w:bCs/>
          <w:rtl/>
        </w:rPr>
        <w:t xml:space="preserve">الجدول </w:t>
      </w:r>
      <w:r w:rsidR="00482197" w:rsidRPr="00482197">
        <w:rPr>
          <w:b w:val="0"/>
          <w:bCs/>
        </w:rPr>
        <w:fldChar w:fldCharType="begin"/>
      </w:r>
      <w:r w:rsidR="00482197" w:rsidRPr="00482197">
        <w:rPr>
          <w:b w:val="0"/>
          <w:bCs/>
        </w:rPr>
        <w:instrText xml:space="preserve"> SEQ Table \* ARABIC </w:instrText>
      </w:r>
      <w:r w:rsidR="00482197" w:rsidRPr="00482197">
        <w:rPr>
          <w:b w:val="0"/>
          <w:bCs/>
        </w:rPr>
        <w:fldChar w:fldCharType="separate"/>
      </w:r>
      <w:r w:rsidR="00482197" w:rsidRPr="00482197">
        <w:rPr>
          <w:b w:val="0"/>
          <w:bCs/>
          <w:noProof/>
        </w:rPr>
        <w:t>1</w:t>
      </w:r>
      <w:r w:rsidR="00482197" w:rsidRPr="00482197">
        <w:rPr>
          <w:b w:val="0"/>
          <w:bCs/>
          <w:noProof/>
        </w:rPr>
        <w:fldChar w:fldCharType="end"/>
      </w:r>
      <w:r w:rsidRPr="00482197">
        <w:rPr>
          <w:rFonts w:hint="cs"/>
          <w:b w:val="0"/>
          <w:bCs/>
          <w:rtl/>
        </w:rPr>
        <w:t>.</w:t>
      </w:r>
      <w:r w:rsidRPr="00482197">
        <w:rPr>
          <w:b w:val="0"/>
          <w:bCs/>
        </w:rPr>
        <w:t xml:space="preserve"> </w:t>
      </w:r>
      <w:r w:rsidRPr="00482197">
        <w:rPr>
          <w:rFonts w:hint="cs"/>
          <w:b w:val="0"/>
          <w:bCs/>
          <w:rtl/>
        </w:rPr>
        <w:t>المواقع المحتملة التي سيتم بحثها في [اسم البلد]</w:t>
      </w:r>
      <w:bookmarkEnd w:id="32"/>
    </w:p>
    <w:tbl>
      <w:tblPr>
        <w:bidiVisual/>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804"/>
        <w:gridCol w:w="1803"/>
        <w:gridCol w:w="1802"/>
        <w:gridCol w:w="1804"/>
        <w:gridCol w:w="1803"/>
      </w:tblGrid>
      <w:tr w:rsidR="00B21695" w:rsidRPr="00E63DCC" w14:paraId="0BE30B19" w14:textId="77777777" w:rsidTr="00D32A65">
        <w:tc>
          <w:tcPr>
            <w:tcW w:w="1812" w:type="dxa"/>
            <w:shd w:val="clear" w:color="auto" w:fill="CCFFFF"/>
            <w:vAlign w:val="bottom"/>
            <w:hideMark/>
          </w:tcPr>
          <w:p w14:paraId="53CF3614" w14:textId="77777777" w:rsidR="00DC3B3F" w:rsidRPr="00E63DCC" w:rsidRDefault="00DC3B3F" w:rsidP="00F04759">
            <w:pPr>
              <w:pStyle w:val="Tabletext0"/>
              <w:bidi/>
              <w:rPr>
                <w:b/>
                <w:rtl/>
              </w:rPr>
            </w:pPr>
            <w:r>
              <w:rPr>
                <w:rFonts w:hint="cs"/>
                <w:b/>
                <w:bCs/>
                <w:rtl/>
              </w:rPr>
              <w:t>الدولة</w:t>
            </w:r>
            <w:r>
              <w:rPr>
                <w:rFonts w:hint="cs"/>
                <w:b/>
                <w:bCs/>
                <w:rtl/>
              </w:rPr>
              <w:tab/>
            </w:r>
          </w:p>
        </w:tc>
        <w:tc>
          <w:tcPr>
            <w:tcW w:w="1812" w:type="dxa"/>
            <w:shd w:val="clear" w:color="auto" w:fill="CCFFFF"/>
            <w:vAlign w:val="bottom"/>
            <w:hideMark/>
          </w:tcPr>
          <w:p w14:paraId="4F5A7215" w14:textId="0EA8D70A" w:rsidR="00DC3B3F" w:rsidRPr="00E63DCC" w:rsidRDefault="00DC3B3F" w:rsidP="00F04759">
            <w:pPr>
              <w:pStyle w:val="Tabletext0"/>
              <w:bidi/>
              <w:rPr>
                <w:b/>
                <w:rtl/>
              </w:rPr>
            </w:pPr>
            <w:r>
              <w:rPr>
                <w:rFonts w:hint="cs"/>
                <w:b/>
                <w:bCs/>
                <w:rtl/>
              </w:rPr>
              <w:t>منطقة الحكومة المحلية</w:t>
            </w:r>
          </w:p>
        </w:tc>
        <w:tc>
          <w:tcPr>
            <w:tcW w:w="1812" w:type="dxa"/>
            <w:shd w:val="clear" w:color="auto" w:fill="CCFFFF"/>
            <w:vAlign w:val="bottom"/>
            <w:hideMark/>
          </w:tcPr>
          <w:p w14:paraId="5BD78125" w14:textId="77777777" w:rsidR="00DC3B3F" w:rsidRPr="00E63DCC" w:rsidRDefault="00DC3B3F" w:rsidP="00F04759">
            <w:pPr>
              <w:pStyle w:val="Tabletext0"/>
              <w:bidi/>
              <w:rPr>
                <w:b/>
                <w:rtl/>
              </w:rPr>
            </w:pPr>
            <w:r>
              <w:rPr>
                <w:rFonts w:hint="cs"/>
                <w:b/>
                <w:bCs/>
                <w:rtl/>
              </w:rPr>
              <w:t>المركز الإداري</w:t>
            </w:r>
          </w:p>
        </w:tc>
        <w:tc>
          <w:tcPr>
            <w:tcW w:w="1812" w:type="dxa"/>
            <w:shd w:val="clear" w:color="auto" w:fill="CCFFFF"/>
            <w:vAlign w:val="bottom"/>
            <w:hideMark/>
          </w:tcPr>
          <w:p w14:paraId="75824965" w14:textId="77777777" w:rsidR="00DC3B3F" w:rsidRPr="00E63DCC" w:rsidRDefault="00DC3B3F" w:rsidP="00F04759">
            <w:pPr>
              <w:pStyle w:val="Tabletext0"/>
              <w:bidi/>
              <w:rPr>
                <w:b/>
                <w:rtl/>
              </w:rPr>
            </w:pPr>
            <w:r>
              <w:rPr>
                <w:rFonts w:hint="cs"/>
                <w:b/>
                <w:bCs/>
                <w:rtl/>
              </w:rPr>
              <w:t>المناجم</w:t>
            </w:r>
          </w:p>
        </w:tc>
        <w:tc>
          <w:tcPr>
            <w:tcW w:w="1812" w:type="dxa"/>
            <w:shd w:val="clear" w:color="auto" w:fill="CCFFFF"/>
            <w:vAlign w:val="bottom"/>
            <w:hideMark/>
          </w:tcPr>
          <w:p w14:paraId="2246A98B" w14:textId="7E4E4F3B" w:rsidR="00DC3B3F" w:rsidRPr="00E63DCC" w:rsidRDefault="00DC3B3F" w:rsidP="00F04759">
            <w:pPr>
              <w:pStyle w:val="Tabletext0"/>
              <w:bidi/>
              <w:rPr>
                <w:b/>
                <w:rtl/>
              </w:rPr>
            </w:pPr>
            <w:r>
              <w:rPr>
                <w:rFonts w:hint="cs"/>
                <w:b/>
                <w:bCs/>
                <w:rtl/>
              </w:rPr>
              <w:t>ملاحظات</w:t>
            </w:r>
          </w:p>
        </w:tc>
      </w:tr>
      <w:tr w:rsidR="00B21695" w:rsidRPr="00E63DCC" w14:paraId="2B289F9F" w14:textId="77777777" w:rsidTr="00D32A65">
        <w:trPr>
          <w:trHeight w:val="755"/>
        </w:trPr>
        <w:tc>
          <w:tcPr>
            <w:tcW w:w="1812" w:type="dxa"/>
            <w:hideMark/>
          </w:tcPr>
          <w:p w14:paraId="202D6A24" w14:textId="1D4277E8" w:rsidR="00DC3B3F" w:rsidRPr="00E63DCC" w:rsidRDefault="001450BB" w:rsidP="00F04759">
            <w:pPr>
              <w:pStyle w:val="Tabletext0"/>
              <w:bidi/>
              <w:rPr>
                <w:rtl/>
              </w:rPr>
            </w:pPr>
            <w:r>
              <w:rPr>
                <w:rFonts w:hint="cs"/>
                <w:rtl/>
              </w:rPr>
              <w:t>[الاسم]</w:t>
            </w:r>
            <w:r>
              <w:t xml:space="preserve"> </w:t>
            </w:r>
          </w:p>
        </w:tc>
        <w:tc>
          <w:tcPr>
            <w:tcW w:w="1812" w:type="dxa"/>
            <w:hideMark/>
          </w:tcPr>
          <w:p w14:paraId="094DB96E" w14:textId="19FEC14C" w:rsidR="00DC3B3F" w:rsidRPr="00E63DCC" w:rsidRDefault="001450BB" w:rsidP="00F04759">
            <w:pPr>
              <w:pStyle w:val="Tabletext0"/>
              <w:bidi/>
              <w:rPr>
                <w:rtl/>
              </w:rPr>
            </w:pPr>
            <w:r>
              <w:rPr>
                <w:rFonts w:hint="cs"/>
                <w:rtl/>
              </w:rPr>
              <w:t>[الاسم]</w:t>
            </w:r>
          </w:p>
        </w:tc>
        <w:tc>
          <w:tcPr>
            <w:tcW w:w="1812" w:type="dxa"/>
            <w:hideMark/>
          </w:tcPr>
          <w:p w14:paraId="7E222751" w14:textId="5D4A350F" w:rsidR="00DC3B3F" w:rsidRPr="00E63DCC" w:rsidRDefault="001450BB" w:rsidP="00F04759">
            <w:pPr>
              <w:pStyle w:val="Tabletext0"/>
              <w:bidi/>
              <w:rPr>
                <w:rtl/>
              </w:rPr>
            </w:pPr>
            <w:r>
              <w:rPr>
                <w:rFonts w:hint="cs"/>
                <w:rtl/>
              </w:rPr>
              <w:t>[الاسم]</w:t>
            </w:r>
          </w:p>
        </w:tc>
        <w:tc>
          <w:tcPr>
            <w:tcW w:w="1812" w:type="dxa"/>
            <w:hideMark/>
          </w:tcPr>
          <w:p w14:paraId="05793AA8" w14:textId="02E25FFD" w:rsidR="00DC3B3F" w:rsidRPr="00E63DCC" w:rsidRDefault="001450BB" w:rsidP="00F04759">
            <w:pPr>
              <w:pStyle w:val="Tabletext0"/>
              <w:bidi/>
              <w:rPr>
                <w:rtl/>
              </w:rPr>
            </w:pPr>
            <w:r>
              <w:rPr>
                <w:rFonts w:hint="cs"/>
                <w:rtl/>
              </w:rPr>
              <w:t>[الاسم (الأسماء)]</w:t>
            </w:r>
          </w:p>
        </w:tc>
        <w:tc>
          <w:tcPr>
            <w:tcW w:w="1812" w:type="dxa"/>
            <w:hideMark/>
          </w:tcPr>
          <w:p w14:paraId="16CBFFFF" w14:textId="07CC53F3" w:rsidR="00DC3B3F" w:rsidRPr="00E63DCC" w:rsidRDefault="00D32A65" w:rsidP="00F04759">
            <w:pPr>
              <w:pStyle w:val="Tabletext0"/>
              <w:bidi/>
              <w:rPr>
                <w:rtl/>
              </w:rPr>
            </w:pPr>
            <w:r>
              <w:rPr>
                <w:rFonts w:hint="cs"/>
                <w:rtl/>
              </w:rPr>
              <w:t>[الموقع 1]</w:t>
            </w:r>
          </w:p>
        </w:tc>
      </w:tr>
      <w:tr w:rsidR="00B21695" w:rsidRPr="00E63DCC" w14:paraId="07726BAA" w14:textId="77777777" w:rsidTr="00D32A65">
        <w:trPr>
          <w:trHeight w:val="399"/>
        </w:trPr>
        <w:tc>
          <w:tcPr>
            <w:tcW w:w="1812" w:type="dxa"/>
          </w:tcPr>
          <w:p w14:paraId="50806343" w14:textId="418910BA" w:rsidR="00DC3B3F" w:rsidRPr="00E63DCC" w:rsidDel="005559D2" w:rsidRDefault="001450BB" w:rsidP="00F04759">
            <w:pPr>
              <w:pStyle w:val="Tabletext0"/>
              <w:bidi/>
              <w:rPr>
                <w:rtl/>
              </w:rPr>
            </w:pPr>
            <w:r>
              <w:rPr>
                <w:rFonts w:hint="cs"/>
                <w:rtl/>
              </w:rPr>
              <w:t>[الاسم]</w:t>
            </w:r>
          </w:p>
        </w:tc>
        <w:tc>
          <w:tcPr>
            <w:tcW w:w="1812" w:type="dxa"/>
          </w:tcPr>
          <w:p w14:paraId="686CECA3" w14:textId="425382AB" w:rsidR="00DC3B3F" w:rsidRPr="00E63DCC" w:rsidRDefault="001450BB" w:rsidP="00F04759">
            <w:pPr>
              <w:pStyle w:val="Tabletext0"/>
              <w:bidi/>
              <w:rPr>
                <w:rtl/>
              </w:rPr>
            </w:pPr>
            <w:r>
              <w:rPr>
                <w:rFonts w:hint="cs"/>
                <w:rtl/>
              </w:rPr>
              <w:t>[الاسم]</w:t>
            </w:r>
          </w:p>
        </w:tc>
        <w:tc>
          <w:tcPr>
            <w:tcW w:w="1812" w:type="dxa"/>
          </w:tcPr>
          <w:p w14:paraId="35BF0740" w14:textId="18C8B576" w:rsidR="00DC3B3F" w:rsidRPr="00E63DCC" w:rsidRDefault="001450BB" w:rsidP="00F04759">
            <w:pPr>
              <w:pStyle w:val="Tabletext0"/>
              <w:bidi/>
              <w:rPr>
                <w:rtl/>
              </w:rPr>
            </w:pPr>
            <w:r>
              <w:rPr>
                <w:rFonts w:hint="cs"/>
                <w:rtl/>
              </w:rPr>
              <w:t>[الاسم]</w:t>
            </w:r>
          </w:p>
        </w:tc>
        <w:tc>
          <w:tcPr>
            <w:tcW w:w="1812" w:type="dxa"/>
          </w:tcPr>
          <w:p w14:paraId="3AE872BE" w14:textId="66E63373" w:rsidR="00DC3B3F" w:rsidRPr="00E63DCC" w:rsidRDefault="001450BB" w:rsidP="00F04759">
            <w:pPr>
              <w:pStyle w:val="Tabletext0"/>
              <w:bidi/>
              <w:rPr>
                <w:rtl/>
              </w:rPr>
            </w:pPr>
            <w:r>
              <w:rPr>
                <w:rFonts w:hint="cs"/>
                <w:rtl/>
              </w:rPr>
              <w:t>[الاسم (الأسماء)]</w:t>
            </w:r>
          </w:p>
        </w:tc>
        <w:tc>
          <w:tcPr>
            <w:tcW w:w="1812" w:type="dxa"/>
          </w:tcPr>
          <w:p w14:paraId="0286C64F" w14:textId="2EFA4FA5" w:rsidR="00DC3B3F" w:rsidRPr="00E63DCC" w:rsidRDefault="00D32A65" w:rsidP="00F04759">
            <w:pPr>
              <w:pStyle w:val="Tabletext0"/>
              <w:bidi/>
              <w:rPr>
                <w:rtl/>
              </w:rPr>
            </w:pPr>
            <w:r>
              <w:rPr>
                <w:rFonts w:hint="cs"/>
                <w:rtl/>
              </w:rPr>
              <w:t>[الموقع 2]</w:t>
            </w:r>
          </w:p>
        </w:tc>
      </w:tr>
      <w:tr w:rsidR="001450BB" w:rsidRPr="00E63DCC" w14:paraId="127BB799" w14:textId="77777777" w:rsidTr="00D32A65">
        <w:trPr>
          <w:trHeight w:val="399"/>
        </w:trPr>
        <w:tc>
          <w:tcPr>
            <w:tcW w:w="1812" w:type="dxa"/>
          </w:tcPr>
          <w:p w14:paraId="749C01C8" w14:textId="41791B0A" w:rsidR="001450BB" w:rsidRPr="00E63DCC" w:rsidRDefault="001450BB" w:rsidP="00F04759">
            <w:pPr>
              <w:pStyle w:val="Tabletext0"/>
              <w:bidi/>
              <w:rPr>
                <w:rtl/>
              </w:rPr>
            </w:pPr>
            <w:r>
              <w:rPr>
                <w:rFonts w:hint="cs"/>
                <w:rtl/>
              </w:rPr>
              <w:t>[يمكنك إضافة المزيد من المواقع]</w:t>
            </w:r>
          </w:p>
        </w:tc>
        <w:tc>
          <w:tcPr>
            <w:tcW w:w="1812" w:type="dxa"/>
          </w:tcPr>
          <w:p w14:paraId="1FFD4633" w14:textId="77777777" w:rsidR="001450BB" w:rsidRPr="00E63DCC" w:rsidRDefault="001450BB" w:rsidP="00F04759">
            <w:pPr>
              <w:pStyle w:val="Tabletext0"/>
            </w:pPr>
          </w:p>
        </w:tc>
        <w:tc>
          <w:tcPr>
            <w:tcW w:w="1812" w:type="dxa"/>
          </w:tcPr>
          <w:p w14:paraId="527AE5C6" w14:textId="77777777" w:rsidR="001450BB" w:rsidRPr="00E63DCC" w:rsidRDefault="001450BB" w:rsidP="00F04759">
            <w:pPr>
              <w:pStyle w:val="Tabletext0"/>
            </w:pPr>
          </w:p>
        </w:tc>
        <w:tc>
          <w:tcPr>
            <w:tcW w:w="1812" w:type="dxa"/>
          </w:tcPr>
          <w:p w14:paraId="4FCDAF33" w14:textId="77777777" w:rsidR="001450BB" w:rsidRPr="00E63DCC" w:rsidRDefault="001450BB" w:rsidP="00F04759">
            <w:pPr>
              <w:pStyle w:val="Tabletext0"/>
            </w:pPr>
          </w:p>
        </w:tc>
        <w:tc>
          <w:tcPr>
            <w:tcW w:w="1812" w:type="dxa"/>
          </w:tcPr>
          <w:p w14:paraId="20C7224D" w14:textId="77777777" w:rsidR="001450BB" w:rsidRPr="00E63DCC" w:rsidRDefault="001450BB" w:rsidP="00F04759">
            <w:pPr>
              <w:pStyle w:val="Tabletext0"/>
            </w:pPr>
          </w:p>
        </w:tc>
      </w:tr>
    </w:tbl>
    <w:p w14:paraId="54E9FF6C" w14:textId="40B720FD" w:rsidR="001450BB" w:rsidRPr="00E63DCC" w:rsidRDefault="001450BB" w:rsidP="00D32A65">
      <w:pPr>
        <w:pStyle w:val="Normal12before"/>
        <w:bidi/>
        <w:rPr>
          <w:rtl/>
        </w:rPr>
      </w:pPr>
      <w:r>
        <w:rPr>
          <w:rFonts w:hint="cs"/>
          <w:rtl/>
        </w:rPr>
        <w:t>تم اختيار هذين الموقعين بما يتماشى مع دراسات التقييم الأساسية الوطنية لتعدين الذهب الحرفي والضيق النطاق التي يتم إجراؤها في البلد تحت رعاية الوزارة الفيدرالية لتطوير المناجم والصلب بالتعاون مع الوزارة الفيدرالية للبيئة، وتم التصديق عليها من قبل مجموعة التوجيه الوطنية لتنفيذ خطة العمل الوطنية بشأن استخدام الزئبق في قطاع التعدين النيجيري.</w:t>
      </w:r>
      <w:r>
        <w:t xml:space="preserve"> </w:t>
      </w:r>
      <w:r>
        <w:rPr>
          <w:rFonts w:hint="cs"/>
          <w:rtl/>
        </w:rPr>
        <w:t xml:space="preserve">ولايتا النيجر </w:t>
      </w:r>
      <w:proofErr w:type="spellStart"/>
      <w:r>
        <w:rPr>
          <w:rFonts w:hint="cs"/>
          <w:rtl/>
        </w:rPr>
        <w:t>وأوسون</w:t>
      </w:r>
      <w:proofErr w:type="spellEnd"/>
      <w:r>
        <w:rPr>
          <w:rFonts w:hint="cs"/>
          <w:rtl/>
        </w:rPr>
        <w:t xml:space="preserve"> من الولايات الرئيسية لأنشطة تعدين الذهب الحرفي والضيق النطاق.</w:t>
      </w:r>
      <w:r>
        <w:t xml:space="preserve"> </w:t>
      </w:r>
      <w:r>
        <w:rPr>
          <w:rFonts w:hint="cs"/>
          <w:rtl/>
        </w:rPr>
        <w:t>تم اختيار هذين الموقع</w:t>
      </w:r>
      <w:r w:rsidR="00284A10">
        <w:rPr>
          <w:rFonts w:hint="cs"/>
          <w:rtl/>
        </w:rPr>
        <w:t>ين</w:t>
      </w:r>
      <w:r>
        <w:rPr>
          <w:rFonts w:hint="cs"/>
          <w:rtl/>
        </w:rPr>
        <w:t xml:space="preserve"> تحديدًا حيث تظهر فيهما حاليًا أنشطة تعدين جارية.</w:t>
      </w:r>
    </w:p>
    <w:p w14:paraId="55310D78" w14:textId="3E45A739" w:rsidR="001450BB" w:rsidRPr="00E63DCC" w:rsidRDefault="001450BB" w:rsidP="00A5640C">
      <w:pPr>
        <w:bidi/>
        <w:rPr>
          <w:szCs w:val="24"/>
          <w:rtl/>
        </w:rPr>
      </w:pPr>
      <w:r>
        <w:rPr>
          <w:rFonts w:hint="cs"/>
          <w:rtl/>
        </w:rPr>
        <w:t>لم يتم وصف مجتمعات تعدين الذهب الحرفي والضيق النطاق في هذين الموقعين بشكل جيد، ومن الواضح أن وصفهما هو أحد أهداف الدراسة الحالية.</w:t>
      </w:r>
      <w:r>
        <w:t xml:space="preserve"> </w:t>
      </w:r>
      <w:r>
        <w:rPr>
          <w:rFonts w:hint="cs"/>
          <w:rtl/>
        </w:rPr>
        <w:t>بشكل عام، تتكون المجتمعات في الغالب من مزارعين يعيشون على الكفاف.</w:t>
      </w:r>
      <w:r>
        <w:t xml:space="preserve"> </w:t>
      </w:r>
      <w:r>
        <w:rPr>
          <w:rFonts w:hint="cs"/>
          <w:rtl/>
        </w:rPr>
        <w:t>إنهم منظمون جيدًا على مستوى التسلسلات الهرمية والمؤسسات التقليدية، بما في ذلك رئيس أو زعيم مجتمع، وشيوخ، وزعامات من النساء والشباب.</w:t>
      </w:r>
      <w:r>
        <w:t xml:space="preserve"> </w:t>
      </w:r>
      <w:r>
        <w:rPr>
          <w:rFonts w:hint="cs"/>
          <w:rtl/>
        </w:rPr>
        <w:t>تفتقر العديد من المجتمعات حول مناطق التعدين إلى التجهيزات الأساسية مثل المياه المنقولة بالأنابيب أو البنية التحتية التعليمية والصحية؛ وإذا وجدت فهي غالبًا متداعية.</w:t>
      </w:r>
      <w:r>
        <w:t xml:space="preserve"> </w:t>
      </w:r>
      <w:r>
        <w:rPr>
          <w:rFonts w:hint="cs"/>
          <w:rtl/>
        </w:rPr>
        <w:t>عمال التعدين في الغالب من الشباب، لكن الأطفال يشاركون أحيانًا في أنشطة التعدين في بعض الحالات.</w:t>
      </w:r>
      <w:r>
        <w:t xml:space="preserve"> </w:t>
      </w:r>
      <w:r>
        <w:rPr>
          <w:rFonts w:hint="cs"/>
          <w:rtl/>
        </w:rPr>
        <w:t>نادرًا ما تشارك النساء.</w:t>
      </w:r>
    </w:p>
    <w:p w14:paraId="15DEECF6" w14:textId="4C8EF5F6" w:rsidR="001450BB" w:rsidRPr="00E63DCC" w:rsidRDefault="001450BB" w:rsidP="00A5640C">
      <w:pPr>
        <w:bidi/>
        <w:spacing w:after="240"/>
        <w:rPr>
          <w:rFonts w:cs="Arial"/>
          <w:szCs w:val="24"/>
          <w:rtl/>
        </w:rPr>
      </w:pPr>
      <w:r>
        <w:rPr>
          <w:rFonts w:hint="cs"/>
          <w:rtl/>
        </w:rPr>
        <w:t>صناعة تعدين الذهب الضيق النطاق لها تاريخ طويل في الولايات الشمالية الغربية والشمالية الوسطى، مثل ولاية النيجر.</w:t>
      </w:r>
      <w:r>
        <w:t xml:space="preserve"> </w:t>
      </w:r>
      <w:r>
        <w:rPr>
          <w:rFonts w:hint="cs"/>
          <w:rtl/>
        </w:rPr>
        <w:t>تقع النيجر بالقرب من منطقة العاصمة الفيدرالية أبوجا في شمال غرب نيجيريا.</w:t>
      </w:r>
      <w:r>
        <w:t xml:space="preserve"> </w:t>
      </w:r>
      <w:r>
        <w:rPr>
          <w:rFonts w:hint="cs"/>
          <w:rtl/>
        </w:rPr>
        <w:t>تتمتع النيجر بإمكانيات هائلة للتنقيب عن المعادن، بما في ذلك الذهب.</w:t>
      </w:r>
      <w:r>
        <w:t xml:space="preserve"> </w:t>
      </w:r>
      <w:r>
        <w:rPr>
          <w:rFonts w:hint="cs"/>
          <w:rtl/>
        </w:rPr>
        <w:t>يتم استخراج الذهب كمصدر للإعاشة.</w:t>
      </w:r>
      <w:r>
        <w:t xml:space="preserve"> </w:t>
      </w:r>
      <w:r>
        <w:rPr>
          <w:rFonts w:hint="cs"/>
          <w:rtl/>
        </w:rPr>
        <w:t>إنه نشاط شاق وخطير للغاية.</w:t>
      </w:r>
      <w:r>
        <w:t xml:space="preserve"> </w:t>
      </w:r>
      <w:r>
        <w:rPr>
          <w:rFonts w:hint="cs"/>
          <w:rtl/>
        </w:rPr>
        <w:t>لا يستخدم عمال التعدين والحرفيون في سلسلة عمليات تعدين الذهب الحرفي والضيق النطاق في النيجر معدات الحماية الشخصية، مما يزيد من مخاطر الصحة والسلامة المهنية.</w:t>
      </w:r>
      <w:r>
        <w:t xml:space="preserve"> </w:t>
      </w:r>
      <w:r>
        <w:rPr>
          <w:rFonts w:hint="cs"/>
          <w:rtl/>
        </w:rPr>
        <w:t>بلغ المعدل التقديري لإنتاج الذهب حوالي 4391 أوقية في عام 2016.</w:t>
      </w:r>
      <w:r>
        <w:t xml:space="preserve"> </w:t>
      </w:r>
      <w:r>
        <w:rPr>
          <w:rFonts w:hint="cs"/>
          <w:rtl/>
        </w:rPr>
        <w:t>تجري عمليات تعدين الذهب الحرفي والضيق النطاق بشكل رئيسي في المناطق الخارجية على بعد عدة كيلومترات من مدينة مينا، وهي عاصمة الولاية.</w:t>
      </w:r>
      <w:r>
        <w:t xml:space="preserve"> </w:t>
      </w:r>
      <w:r>
        <w:rPr>
          <w:rFonts w:hint="cs"/>
          <w:rtl/>
        </w:rPr>
        <w:t xml:space="preserve">تشمل مجتمعات تعدين الذهب الرئيسية </w:t>
      </w:r>
      <w:proofErr w:type="spellStart"/>
      <w:r>
        <w:rPr>
          <w:rFonts w:hint="cs"/>
          <w:rtl/>
        </w:rPr>
        <w:t>غورمانا</w:t>
      </w:r>
      <w:proofErr w:type="spellEnd"/>
      <w:r>
        <w:rPr>
          <w:rFonts w:hint="cs"/>
          <w:rtl/>
        </w:rPr>
        <w:t xml:space="preserve"> في منطقة حكومة </w:t>
      </w:r>
      <w:proofErr w:type="spellStart"/>
      <w:r>
        <w:rPr>
          <w:rFonts w:hint="cs"/>
          <w:rtl/>
        </w:rPr>
        <w:t>شيرورو</w:t>
      </w:r>
      <w:proofErr w:type="spellEnd"/>
      <w:r>
        <w:rPr>
          <w:rFonts w:hint="cs"/>
          <w:rtl/>
        </w:rPr>
        <w:t xml:space="preserve"> المحلية </w:t>
      </w:r>
      <w:proofErr w:type="spellStart"/>
      <w:r>
        <w:rPr>
          <w:rFonts w:hint="cs"/>
          <w:rtl/>
        </w:rPr>
        <w:t>وباندوغاري</w:t>
      </w:r>
      <w:proofErr w:type="spellEnd"/>
      <w:r>
        <w:rPr>
          <w:rFonts w:hint="cs"/>
          <w:rtl/>
        </w:rPr>
        <w:t xml:space="preserve"> في منطقة حكومة رافي المحلية.</w:t>
      </w:r>
      <w:r>
        <w:t xml:space="preserve"> </w:t>
      </w:r>
      <w:r>
        <w:rPr>
          <w:rFonts w:hint="cs"/>
          <w:rtl/>
        </w:rPr>
        <w:t xml:space="preserve">وتشمل المواقع الأخرى زومبا وغوادا </w:t>
      </w:r>
      <w:proofErr w:type="spellStart"/>
      <w:r>
        <w:rPr>
          <w:rFonts w:hint="cs"/>
          <w:rtl/>
        </w:rPr>
        <w:t>وغالاديما</w:t>
      </w:r>
      <w:proofErr w:type="spellEnd"/>
      <w:r>
        <w:rPr>
          <w:rFonts w:hint="cs"/>
          <w:rtl/>
        </w:rPr>
        <w:t xml:space="preserve"> </w:t>
      </w:r>
      <w:proofErr w:type="spellStart"/>
      <w:r>
        <w:rPr>
          <w:rFonts w:hint="cs"/>
          <w:rtl/>
        </w:rPr>
        <w:t>وكوغو</w:t>
      </w:r>
      <w:proofErr w:type="spellEnd"/>
      <w:r>
        <w:rPr>
          <w:rFonts w:hint="cs"/>
          <w:rtl/>
        </w:rPr>
        <w:t xml:space="preserve"> </w:t>
      </w:r>
      <w:proofErr w:type="spellStart"/>
      <w:r>
        <w:rPr>
          <w:rFonts w:hint="cs"/>
          <w:rtl/>
        </w:rPr>
        <w:t>وتاشيبو</w:t>
      </w:r>
      <w:proofErr w:type="spellEnd"/>
      <w:r>
        <w:rPr>
          <w:rFonts w:hint="cs"/>
          <w:rtl/>
        </w:rPr>
        <w:t xml:space="preserve"> </w:t>
      </w:r>
      <w:proofErr w:type="spellStart"/>
      <w:r>
        <w:rPr>
          <w:rFonts w:hint="cs"/>
          <w:rtl/>
        </w:rPr>
        <w:t>وغارافيني</w:t>
      </w:r>
      <w:proofErr w:type="spellEnd"/>
      <w:r>
        <w:rPr>
          <w:rFonts w:hint="cs"/>
          <w:rtl/>
        </w:rPr>
        <w:t xml:space="preserve"> </w:t>
      </w:r>
      <w:proofErr w:type="spellStart"/>
      <w:r>
        <w:rPr>
          <w:rFonts w:hint="cs"/>
          <w:rtl/>
        </w:rPr>
        <w:t>وشيكيرا</w:t>
      </w:r>
      <w:proofErr w:type="spellEnd"/>
      <w:r>
        <w:rPr>
          <w:rFonts w:hint="cs"/>
          <w:rtl/>
        </w:rPr>
        <w:t xml:space="preserve"> </w:t>
      </w:r>
      <w:proofErr w:type="spellStart"/>
      <w:r>
        <w:rPr>
          <w:rFonts w:hint="cs"/>
          <w:rtl/>
        </w:rPr>
        <w:t>وكبماكبما</w:t>
      </w:r>
      <w:proofErr w:type="spellEnd"/>
      <w:r>
        <w:rPr>
          <w:rFonts w:hint="cs"/>
          <w:rtl/>
        </w:rPr>
        <w:t xml:space="preserve"> </w:t>
      </w:r>
      <w:proofErr w:type="spellStart"/>
      <w:r>
        <w:rPr>
          <w:rFonts w:hint="cs"/>
          <w:rtl/>
        </w:rPr>
        <w:t>وكادورا</w:t>
      </w:r>
      <w:proofErr w:type="spellEnd"/>
      <w:r>
        <w:rPr>
          <w:rFonts w:hint="cs"/>
          <w:rtl/>
        </w:rPr>
        <w:t xml:space="preserve"> </w:t>
      </w:r>
      <w:proofErr w:type="spellStart"/>
      <w:r>
        <w:rPr>
          <w:rFonts w:hint="cs"/>
          <w:rtl/>
        </w:rPr>
        <w:t>زازاغا</w:t>
      </w:r>
      <w:proofErr w:type="spellEnd"/>
      <w:r>
        <w:rPr>
          <w:rFonts w:hint="cs"/>
          <w:rtl/>
        </w:rPr>
        <w:t>.</w:t>
      </w:r>
    </w:p>
    <w:p w14:paraId="5ADA208B" w14:textId="1F8F86BF" w:rsidR="00DC3B3F" w:rsidRPr="00E63DCC" w:rsidRDefault="001450BB" w:rsidP="00A5640C">
      <w:pPr>
        <w:bidi/>
        <w:rPr>
          <w:rFonts w:cs="Arial"/>
          <w:szCs w:val="24"/>
          <w:rtl/>
        </w:rPr>
      </w:pPr>
      <w:r>
        <w:rPr>
          <w:rFonts w:hint="cs"/>
          <w:rtl/>
        </w:rPr>
        <w:t xml:space="preserve">ولاية </w:t>
      </w:r>
      <w:proofErr w:type="spellStart"/>
      <w:r>
        <w:rPr>
          <w:rFonts w:hint="cs"/>
          <w:rtl/>
        </w:rPr>
        <w:t>أوسون</w:t>
      </w:r>
      <w:proofErr w:type="spellEnd"/>
      <w:r>
        <w:rPr>
          <w:rFonts w:hint="cs"/>
          <w:rtl/>
        </w:rPr>
        <w:t xml:space="preserve"> في جنوب غرب نيجيريا لديها أيضًا فرص لتعدين الذهب.</w:t>
      </w:r>
      <w:r>
        <w:t xml:space="preserve"> </w:t>
      </w:r>
      <w:r>
        <w:rPr>
          <w:rFonts w:hint="cs"/>
          <w:rtl/>
        </w:rPr>
        <w:t xml:space="preserve">تم الإبلاغ عن الذهب لأول مرة في سبتمبر 1940 من نهر أوينا شمال طريق </w:t>
      </w:r>
      <w:proofErr w:type="spellStart"/>
      <w:r>
        <w:rPr>
          <w:rFonts w:hint="cs"/>
          <w:rtl/>
        </w:rPr>
        <w:t>إيفي</w:t>
      </w:r>
      <w:proofErr w:type="spellEnd"/>
      <w:r>
        <w:rPr>
          <w:rFonts w:hint="cs"/>
          <w:rtl/>
        </w:rPr>
        <w:t xml:space="preserve"> </w:t>
      </w:r>
      <w:proofErr w:type="spellStart"/>
      <w:r>
        <w:rPr>
          <w:rFonts w:hint="cs"/>
          <w:rtl/>
        </w:rPr>
        <w:t>أوندو</w:t>
      </w:r>
      <w:proofErr w:type="spellEnd"/>
      <w:r>
        <w:rPr>
          <w:rFonts w:hint="cs"/>
          <w:rtl/>
        </w:rPr>
        <w:t>.</w:t>
      </w:r>
      <w:r>
        <w:t xml:space="preserve"> </w:t>
      </w:r>
      <w:r>
        <w:rPr>
          <w:rFonts w:hint="cs"/>
          <w:rtl/>
        </w:rPr>
        <w:t>بين عامي 1941 و1952 تم استخراج أكثر من 50 أوقية من الذهب من رواسب التيار </w:t>
      </w:r>
      <w:r>
        <w:rPr>
          <w:rFonts w:hint="cs"/>
          <w:i/>
          <w:iCs/>
          <w:rtl/>
        </w:rPr>
        <w:t>(11)</w:t>
      </w:r>
      <w:r>
        <w:rPr>
          <w:rFonts w:hint="cs"/>
          <w:rtl/>
        </w:rPr>
        <w:t>.</w:t>
      </w:r>
      <w:r>
        <w:t xml:space="preserve"> </w:t>
      </w:r>
      <w:r>
        <w:rPr>
          <w:rFonts w:hint="cs"/>
          <w:rtl/>
        </w:rPr>
        <w:t xml:space="preserve">اليوم، يستمر تعدين الذهب على نطاق تجاري في ولاية </w:t>
      </w:r>
      <w:proofErr w:type="spellStart"/>
      <w:r>
        <w:rPr>
          <w:rFonts w:hint="cs"/>
          <w:rtl/>
        </w:rPr>
        <w:t>أوسون</w:t>
      </w:r>
      <w:proofErr w:type="spellEnd"/>
      <w:r>
        <w:rPr>
          <w:rFonts w:hint="cs"/>
          <w:rtl/>
        </w:rPr>
        <w:t>، ولا يزال التنقيب جاريًا.</w:t>
      </w:r>
      <w:r>
        <w:t xml:space="preserve"> </w:t>
      </w:r>
      <w:r>
        <w:rPr>
          <w:rFonts w:hint="cs"/>
          <w:rtl/>
        </w:rPr>
        <w:t xml:space="preserve">تجري عمليات تعدين الذهب الحرفي والضيق النطاق بنشاط في منطقتي حكومتي </w:t>
      </w:r>
      <w:proofErr w:type="spellStart"/>
      <w:r>
        <w:rPr>
          <w:rFonts w:hint="cs"/>
          <w:rtl/>
        </w:rPr>
        <w:t>أتاكونموسا</w:t>
      </w:r>
      <w:proofErr w:type="spellEnd"/>
      <w:r>
        <w:rPr>
          <w:rFonts w:hint="cs"/>
          <w:rtl/>
        </w:rPr>
        <w:t xml:space="preserve"> الغربية </w:t>
      </w:r>
      <w:proofErr w:type="spellStart"/>
      <w:r>
        <w:rPr>
          <w:rFonts w:hint="cs"/>
          <w:rtl/>
        </w:rPr>
        <w:t>وإيليسا</w:t>
      </w:r>
      <w:proofErr w:type="spellEnd"/>
      <w:r>
        <w:rPr>
          <w:rFonts w:hint="cs"/>
          <w:rtl/>
        </w:rPr>
        <w:t xml:space="preserve"> المحليتين.</w:t>
      </w:r>
      <w:r>
        <w:t xml:space="preserve"> </w:t>
      </w:r>
      <w:r>
        <w:rPr>
          <w:rFonts w:hint="cs"/>
          <w:rtl/>
        </w:rPr>
        <w:t xml:space="preserve">تحدث عمليات تعدين الذهب الحرفي والضيق النطاق في </w:t>
      </w:r>
      <w:proofErr w:type="spellStart"/>
      <w:r>
        <w:rPr>
          <w:rFonts w:hint="cs"/>
          <w:rtl/>
        </w:rPr>
        <w:t>أتاكونموسا</w:t>
      </w:r>
      <w:proofErr w:type="spellEnd"/>
      <w:r>
        <w:rPr>
          <w:rFonts w:hint="cs"/>
          <w:rtl/>
        </w:rPr>
        <w:t xml:space="preserve"> الغربية في موقعي تعدين </w:t>
      </w:r>
      <w:proofErr w:type="spellStart"/>
      <w:r>
        <w:rPr>
          <w:rFonts w:hint="cs"/>
          <w:rtl/>
        </w:rPr>
        <w:t>إيبودي</w:t>
      </w:r>
      <w:proofErr w:type="spellEnd"/>
      <w:r>
        <w:rPr>
          <w:rFonts w:hint="cs"/>
          <w:rtl/>
        </w:rPr>
        <w:t xml:space="preserve"> </w:t>
      </w:r>
      <w:proofErr w:type="spellStart"/>
      <w:r>
        <w:rPr>
          <w:rFonts w:hint="cs"/>
          <w:rtl/>
        </w:rPr>
        <w:t>وأوسو</w:t>
      </w:r>
      <w:proofErr w:type="spellEnd"/>
      <w:r>
        <w:rPr>
          <w:rFonts w:hint="cs"/>
          <w:rtl/>
        </w:rPr>
        <w:t>.</w:t>
      </w:r>
      <w:r>
        <w:t xml:space="preserve"> </w:t>
      </w:r>
      <w:r>
        <w:rPr>
          <w:rFonts w:hint="cs"/>
          <w:rtl/>
        </w:rPr>
        <w:t xml:space="preserve">في ولاية </w:t>
      </w:r>
      <w:proofErr w:type="spellStart"/>
      <w:r>
        <w:rPr>
          <w:rFonts w:hint="cs"/>
          <w:rtl/>
        </w:rPr>
        <w:t>أوسون</w:t>
      </w:r>
      <w:proofErr w:type="spellEnd"/>
      <w:r>
        <w:rPr>
          <w:rFonts w:hint="cs"/>
          <w:rtl/>
        </w:rPr>
        <w:t>، يقيم بعض عمال التعدين في مواقع بعيدة عن المناجم.</w:t>
      </w:r>
    </w:p>
    <w:p w14:paraId="7D1F6CE7" w14:textId="33A987FD" w:rsidR="008A0373" w:rsidRPr="00E63DCC" w:rsidRDefault="00F04759" w:rsidP="00A5640C">
      <w:pPr>
        <w:pStyle w:val="Heading2"/>
        <w:bidi/>
        <w:rPr>
          <w:rtl/>
        </w:rPr>
      </w:pPr>
      <w:bookmarkStart w:id="33" w:name="_Toc245371568"/>
      <w:bookmarkStart w:id="34" w:name="_Toc283557259"/>
      <w:bookmarkStart w:id="35" w:name="_Toc67301052"/>
      <w:bookmarkStart w:id="36" w:name="_Toc71095496"/>
      <w:r>
        <w:rPr>
          <w:rFonts w:hint="cs"/>
          <w:rtl/>
        </w:rPr>
        <w:lastRenderedPageBreak/>
        <w:t>3.3 الفئة السكانية في الدراسة وحجم العينة</w:t>
      </w:r>
      <w:bookmarkEnd w:id="33"/>
      <w:bookmarkEnd w:id="34"/>
      <w:bookmarkEnd w:id="35"/>
      <w:bookmarkEnd w:id="36"/>
      <w:r>
        <w:t xml:space="preserve"> </w:t>
      </w:r>
    </w:p>
    <w:p w14:paraId="6EE1B786" w14:textId="09D2D127" w:rsidR="00C7540F" w:rsidRPr="00E63DCC" w:rsidRDefault="00C7540F" w:rsidP="00A5640C">
      <w:pPr>
        <w:bidi/>
        <w:rPr>
          <w:rtl/>
        </w:rPr>
      </w:pPr>
      <w:r>
        <w:rPr>
          <w:rFonts w:hint="cs"/>
          <w:rtl/>
        </w:rPr>
        <w:t>في كل منطقة لتعدين الذهب الحرفي والضيق النطاق، سيتم إجراء مقابلات مع المبلغين الرئيسيين (</w:t>
      </w:r>
      <w:r>
        <w:t>KIIs</w:t>
      </w:r>
      <w:r>
        <w:rPr>
          <w:rFonts w:hint="cs"/>
          <w:rtl/>
        </w:rPr>
        <w:t>) ومناقشات مجموعات التركيز (</w:t>
      </w:r>
      <w:r>
        <w:t>FGDs</w:t>
      </w:r>
      <w:r>
        <w:rPr>
          <w:rFonts w:hint="cs"/>
          <w:rtl/>
        </w:rPr>
        <w:t>) وتقييمات المؤسسات الصحية.</w:t>
      </w:r>
      <w:r>
        <w:t xml:space="preserve"> </w:t>
      </w:r>
      <w:r>
        <w:rPr>
          <w:rFonts w:hint="cs"/>
          <w:rtl/>
        </w:rPr>
        <w:t>تظهر مجموعات المشاركين في الطرق المختلفة لجمع البيانات في الجدول 2.</w:t>
      </w:r>
    </w:p>
    <w:p w14:paraId="11B1EC2D" w14:textId="77777777" w:rsidR="00483DCF" w:rsidRPr="00E63DCC" w:rsidRDefault="00D81211" w:rsidP="00A5640C">
      <w:pPr>
        <w:bidi/>
        <w:rPr>
          <w:rtl/>
        </w:rPr>
      </w:pPr>
      <w:r>
        <w:rPr>
          <w:rFonts w:hint="cs"/>
          <w:rtl/>
        </w:rPr>
        <w:t>[مثال للجدول]:</w:t>
      </w:r>
      <w:r>
        <w:t xml:space="preserve"> </w:t>
      </w:r>
    </w:p>
    <w:p w14:paraId="2EE5E4DB" w14:textId="1F8DFD92" w:rsidR="00016A84" w:rsidRPr="00482197" w:rsidRDefault="008874D2" w:rsidP="0017699C">
      <w:pPr>
        <w:pStyle w:val="Tablehead"/>
        <w:bidi/>
        <w:rPr>
          <w:b w:val="0"/>
          <w:bCs/>
          <w:rtl/>
        </w:rPr>
      </w:pPr>
      <w:bookmarkStart w:id="37" w:name="_Toc66796457"/>
      <w:r w:rsidRPr="00482197">
        <w:rPr>
          <w:rFonts w:hint="cs"/>
          <w:b w:val="0"/>
          <w:bCs/>
          <w:rtl/>
        </w:rPr>
        <w:t xml:space="preserve">الجدول </w:t>
      </w:r>
      <w:r w:rsidR="00482197" w:rsidRPr="00482197">
        <w:rPr>
          <w:b w:val="0"/>
          <w:bCs/>
        </w:rPr>
        <w:fldChar w:fldCharType="begin"/>
      </w:r>
      <w:r w:rsidR="00482197" w:rsidRPr="00482197">
        <w:rPr>
          <w:b w:val="0"/>
          <w:bCs/>
        </w:rPr>
        <w:instrText xml:space="preserve"> SEQ Table \* ARABIC </w:instrText>
      </w:r>
      <w:r w:rsidR="00482197" w:rsidRPr="00482197">
        <w:rPr>
          <w:b w:val="0"/>
          <w:bCs/>
        </w:rPr>
        <w:fldChar w:fldCharType="separate"/>
      </w:r>
      <w:r w:rsidR="00482197" w:rsidRPr="00482197">
        <w:rPr>
          <w:b w:val="0"/>
          <w:bCs/>
          <w:noProof/>
        </w:rPr>
        <w:t>2</w:t>
      </w:r>
      <w:r w:rsidR="00482197" w:rsidRPr="00482197">
        <w:rPr>
          <w:b w:val="0"/>
          <w:bCs/>
          <w:noProof/>
        </w:rPr>
        <w:fldChar w:fldCharType="end"/>
      </w:r>
      <w:r w:rsidRPr="00482197">
        <w:rPr>
          <w:rFonts w:hint="cs"/>
          <w:b w:val="0"/>
          <w:bCs/>
          <w:rtl/>
        </w:rPr>
        <w:t>.</w:t>
      </w:r>
      <w:r w:rsidRPr="00482197">
        <w:rPr>
          <w:b w:val="0"/>
          <w:bCs/>
        </w:rPr>
        <w:t xml:space="preserve"> </w:t>
      </w:r>
      <w:r w:rsidRPr="00482197">
        <w:rPr>
          <w:rFonts w:hint="cs"/>
          <w:b w:val="0"/>
          <w:bCs/>
          <w:rtl/>
        </w:rPr>
        <w:t>مجموعات المشاركين والمنشآت الصحية المستهدفة</w:t>
      </w:r>
      <w:bookmarkEnd w:id="37"/>
    </w:p>
    <w:tbl>
      <w:tblPr>
        <w:bidiVisual/>
        <w:tblW w:w="0" w:type="auto"/>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317"/>
        <w:gridCol w:w="3011"/>
        <w:gridCol w:w="3006"/>
      </w:tblGrid>
      <w:tr w:rsidR="00016A84" w:rsidRPr="00E63DCC" w14:paraId="5D89E07B" w14:textId="77777777" w:rsidTr="00B72980">
        <w:trPr>
          <w:trHeight w:val="283"/>
        </w:trPr>
        <w:tc>
          <w:tcPr>
            <w:tcW w:w="3388" w:type="dxa"/>
            <w:shd w:val="clear" w:color="auto" w:fill="CCFFFF"/>
            <w:vAlign w:val="bottom"/>
          </w:tcPr>
          <w:p w14:paraId="44897C67" w14:textId="77777777" w:rsidR="00016A84" w:rsidRPr="00E63DCC" w:rsidRDefault="00016A84" w:rsidP="0017699C">
            <w:pPr>
              <w:pStyle w:val="Tabletext0"/>
              <w:bidi/>
              <w:rPr>
                <w:b/>
                <w:rtl/>
              </w:rPr>
            </w:pPr>
            <w:r>
              <w:rPr>
                <w:rFonts w:hint="cs"/>
                <w:b/>
                <w:bCs/>
                <w:rtl/>
              </w:rPr>
              <w:t>المقابلات مع المبلغين الرئيسيين</w:t>
            </w:r>
          </w:p>
        </w:tc>
        <w:tc>
          <w:tcPr>
            <w:tcW w:w="3070" w:type="dxa"/>
            <w:shd w:val="clear" w:color="auto" w:fill="CCFFFF"/>
            <w:vAlign w:val="bottom"/>
          </w:tcPr>
          <w:p w14:paraId="697642E6" w14:textId="77777777" w:rsidR="00016A84" w:rsidRPr="00E63DCC" w:rsidRDefault="00016A84" w:rsidP="0017699C">
            <w:pPr>
              <w:pStyle w:val="Tabletext0"/>
              <w:bidi/>
              <w:rPr>
                <w:b/>
                <w:rtl/>
              </w:rPr>
            </w:pPr>
            <w:r>
              <w:rPr>
                <w:rFonts w:hint="cs"/>
                <w:b/>
                <w:bCs/>
                <w:rtl/>
              </w:rPr>
              <w:t>مناقشات مجموعات التركيز</w:t>
            </w:r>
          </w:p>
        </w:tc>
        <w:tc>
          <w:tcPr>
            <w:tcW w:w="3070" w:type="dxa"/>
            <w:shd w:val="clear" w:color="auto" w:fill="CCFFFF"/>
            <w:vAlign w:val="bottom"/>
          </w:tcPr>
          <w:p w14:paraId="78F15655" w14:textId="77777777" w:rsidR="00016A84" w:rsidRPr="00E63DCC" w:rsidRDefault="00DB55A5" w:rsidP="0017699C">
            <w:pPr>
              <w:pStyle w:val="Tabletext0"/>
              <w:bidi/>
              <w:rPr>
                <w:b/>
                <w:rtl/>
              </w:rPr>
            </w:pPr>
            <w:r>
              <w:rPr>
                <w:rFonts w:hint="cs"/>
                <w:b/>
                <w:bCs/>
                <w:rtl/>
              </w:rPr>
              <w:t>تقييمات المنشآت الصحية</w:t>
            </w:r>
          </w:p>
        </w:tc>
      </w:tr>
      <w:tr w:rsidR="00016A84" w:rsidRPr="00E63DCC" w14:paraId="446DB3A3" w14:textId="77777777" w:rsidTr="00B72980">
        <w:trPr>
          <w:trHeight w:val="283"/>
        </w:trPr>
        <w:tc>
          <w:tcPr>
            <w:tcW w:w="3388" w:type="dxa"/>
          </w:tcPr>
          <w:p w14:paraId="0D75B437" w14:textId="77777777" w:rsidR="00016A84" w:rsidRPr="00E63DCC" w:rsidRDefault="00BE5D4A" w:rsidP="00E45EB1">
            <w:pPr>
              <w:pStyle w:val="Tabletext0"/>
              <w:bidi/>
              <w:spacing w:after="120"/>
              <w:rPr>
                <w:rtl/>
              </w:rPr>
            </w:pPr>
            <w:r>
              <w:rPr>
                <w:rFonts w:hint="cs"/>
                <w:rtl/>
              </w:rPr>
              <w:t>مسؤولو الحكومات المحلية</w:t>
            </w:r>
          </w:p>
          <w:p w14:paraId="778F5A2C" w14:textId="77777777" w:rsidR="00016A84" w:rsidRPr="00E63DCC" w:rsidRDefault="00BE5D4A" w:rsidP="00E45EB1">
            <w:pPr>
              <w:pStyle w:val="Tabletext0"/>
              <w:bidi/>
              <w:spacing w:after="120"/>
              <w:rPr>
                <w:rtl/>
              </w:rPr>
            </w:pPr>
            <w:r>
              <w:rPr>
                <w:rFonts w:hint="cs"/>
                <w:rtl/>
              </w:rPr>
              <w:t>الهيئات الصحية المحلية</w:t>
            </w:r>
          </w:p>
          <w:p w14:paraId="51835307" w14:textId="77777777" w:rsidR="00965FAA" w:rsidRPr="00E63DCC" w:rsidRDefault="00965FAA" w:rsidP="00E45EB1">
            <w:pPr>
              <w:pStyle w:val="Tabletext0"/>
              <w:bidi/>
              <w:spacing w:after="120"/>
              <w:rPr>
                <w:rtl/>
              </w:rPr>
            </w:pPr>
            <w:r>
              <w:rPr>
                <w:rFonts w:hint="cs"/>
                <w:rtl/>
              </w:rPr>
              <w:t>الهيئات البيئية (الصحية) المحلية</w:t>
            </w:r>
          </w:p>
          <w:p w14:paraId="361515ED" w14:textId="77777777" w:rsidR="00016A84" w:rsidRPr="00E63DCC" w:rsidRDefault="00BE5D4A" w:rsidP="00E45EB1">
            <w:pPr>
              <w:pStyle w:val="Tabletext0"/>
              <w:bidi/>
              <w:spacing w:after="120"/>
              <w:rPr>
                <w:rtl/>
              </w:rPr>
            </w:pPr>
            <w:r>
              <w:rPr>
                <w:rFonts w:hint="cs"/>
                <w:rtl/>
              </w:rPr>
              <w:t>مقدمو الرعاية الصحية في المنشآت الصحية المحيطة في مناطق تعدين الذهب الحرفي والضيق النطاق</w:t>
            </w:r>
          </w:p>
          <w:p w14:paraId="61F6EB87" w14:textId="77777777" w:rsidR="005C20C4" w:rsidRPr="00E63DCC" w:rsidRDefault="00F8030B" w:rsidP="00E45EB1">
            <w:pPr>
              <w:pStyle w:val="Tabletext0"/>
              <w:bidi/>
              <w:spacing w:after="120"/>
              <w:rPr>
                <w:rtl/>
              </w:rPr>
            </w:pPr>
            <w:r>
              <w:rPr>
                <w:rFonts w:hint="cs"/>
                <w:rtl/>
              </w:rPr>
              <w:t>زعماء المجتمع</w:t>
            </w:r>
            <w:r>
              <w:t xml:space="preserve"> </w:t>
            </w:r>
          </w:p>
          <w:p w14:paraId="58B6905B" w14:textId="274FF809" w:rsidR="00F8030B" w:rsidRPr="00E63DCC" w:rsidRDefault="00F8030B" w:rsidP="00E45EB1">
            <w:pPr>
              <w:pStyle w:val="Tabletext0"/>
              <w:bidi/>
              <w:spacing w:after="120"/>
              <w:rPr>
                <w:rtl/>
              </w:rPr>
            </w:pPr>
            <w:r>
              <w:rPr>
                <w:rFonts w:hint="cs"/>
                <w:rtl/>
              </w:rPr>
              <w:t>زعماء مجتمع تعدين الذهب الحرفي والضيق النطاق</w:t>
            </w:r>
            <w:r>
              <w:t xml:space="preserve"> </w:t>
            </w:r>
          </w:p>
          <w:p w14:paraId="6ECCC5A1" w14:textId="46AC65EB" w:rsidR="00016A84" w:rsidRPr="00E63DCC" w:rsidRDefault="00BE5D4A" w:rsidP="00E45EB1">
            <w:pPr>
              <w:pStyle w:val="Tabletext0"/>
              <w:bidi/>
              <w:spacing w:after="120"/>
              <w:rPr>
                <w:rtl/>
              </w:rPr>
            </w:pPr>
            <w:r>
              <w:rPr>
                <w:rFonts w:hint="cs"/>
                <w:rtl/>
              </w:rPr>
              <w:t>منظمات المجتمع المدني العاملة في المشاكل المتعلقة بتعدين الذهب الحرفي والضيق النطاق</w:t>
            </w:r>
          </w:p>
        </w:tc>
        <w:tc>
          <w:tcPr>
            <w:tcW w:w="3070" w:type="dxa"/>
          </w:tcPr>
          <w:p w14:paraId="40C691C5" w14:textId="77777777" w:rsidR="00016A84" w:rsidRPr="00E63DCC" w:rsidRDefault="00BE5D4A" w:rsidP="00E45EB1">
            <w:pPr>
              <w:pStyle w:val="Tabletext0"/>
              <w:bidi/>
              <w:spacing w:after="120"/>
              <w:rPr>
                <w:rtl/>
              </w:rPr>
            </w:pPr>
            <w:r>
              <w:rPr>
                <w:rFonts w:hint="cs"/>
                <w:rtl/>
              </w:rPr>
              <w:t>عمال تعدين الذهب الحرفي والضيق النطاق</w:t>
            </w:r>
            <w:r>
              <w:t xml:space="preserve"> </w:t>
            </w:r>
          </w:p>
          <w:p w14:paraId="1CD31C25" w14:textId="77777777" w:rsidR="00016A84" w:rsidRPr="00E63DCC" w:rsidRDefault="00BE5D4A" w:rsidP="00E45EB1">
            <w:pPr>
              <w:pStyle w:val="Tabletext0"/>
              <w:bidi/>
              <w:spacing w:after="120"/>
              <w:rPr>
                <w:rtl/>
              </w:rPr>
            </w:pPr>
            <w:r>
              <w:rPr>
                <w:rFonts w:hint="cs"/>
                <w:rtl/>
              </w:rPr>
              <w:t>أفراد أسر عمال التعدين</w:t>
            </w:r>
          </w:p>
          <w:p w14:paraId="69EB684B" w14:textId="77777777" w:rsidR="00016A84" w:rsidRPr="00E63DCC" w:rsidRDefault="00BE5D4A" w:rsidP="00E45EB1">
            <w:pPr>
              <w:pStyle w:val="Tabletext0"/>
              <w:bidi/>
              <w:spacing w:after="120"/>
              <w:rPr>
                <w:rtl/>
              </w:rPr>
            </w:pPr>
            <w:r>
              <w:rPr>
                <w:rFonts w:hint="cs"/>
                <w:rtl/>
              </w:rPr>
              <w:t>أفراد المجتمعات المحيطة بمواقع تعدين الذهب الحرفي والضيق النطاق (باستثناء الزعماء)</w:t>
            </w:r>
          </w:p>
          <w:p w14:paraId="070CEF93" w14:textId="03021B5C" w:rsidR="00016A84" w:rsidRPr="00E63DCC" w:rsidRDefault="003D0B24" w:rsidP="003D0B24">
            <w:pPr>
              <w:pStyle w:val="Tabletext0"/>
              <w:bidi/>
              <w:spacing w:after="120"/>
              <w:rPr>
                <w:rtl/>
              </w:rPr>
            </w:pPr>
            <w:r>
              <w:rPr>
                <w:rFonts w:hint="cs"/>
                <w:rtl/>
              </w:rPr>
              <w:t>مجموعات المجتمع الأخرى ذات الصلة المحتملة والتي سيتم تحديدها على المستوى المحلي (مثل العاملين الصحيين المجتمعيين)</w:t>
            </w:r>
          </w:p>
        </w:tc>
        <w:tc>
          <w:tcPr>
            <w:tcW w:w="3070" w:type="dxa"/>
          </w:tcPr>
          <w:p w14:paraId="164F8437" w14:textId="77777777" w:rsidR="00016A84" w:rsidRPr="00E63DCC" w:rsidRDefault="00AC0DA0" w:rsidP="00E45EB1">
            <w:pPr>
              <w:pStyle w:val="Tabletext0"/>
              <w:bidi/>
              <w:spacing w:after="120"/>
              <w:rPr>
                <w:rtl/>
              </w:rPr>
            </w:pPr>
            <w:r>
              <w:rPr>
                <w:rFonts w:hint="cs"/>
                <w:rtl/>
              </w:rPr>
              <w:t>أقرب منشآت رعاية صحية أولية عامة تخدم مجتمعات تعدين الذهب الحرفي والضيق النطاق</w:t>
            </w:r>
          </w:p>
          <w:p w14:paraId="038FF319" w14:textId="77777777" w:rsidR="00655266" w:rsidRPr="00E63DCC" w:rsidRDefault="00655266" w:rsidP="00E45EB1">
            <w:pPr>
              <w:pStyle w:val="Tabletext0"/>
              <w:bidi/>
              <w:spacing w:after="120"/>
              <w:rPr>
                <w:rtl/>
              </w:rPr>
            </w:pPr>
            <w:r>
              <w:rPr>
                <w:rFonts w:hint="cs"/>
                <w:rtl/>
              </w:rPr>
              <w:t>مستشفى الإحالة لمنشآت الرعاية الصحية الأولية</w:t>
            </w:r>
          </w:p>
        </w:tc>
      </w:tr>
    </w:tbl>
    <w:p w14:paraId="3C1ACD66" w14:textId="1FF7BED0" w:rsidR="00C7540F" w:rsidRPr="00E63DCC" w:rsidRDefault="00C7540F" w:rsidP="0098164C">
      <w:pPr>
        <w:pStyle w:val="Normal12before"/>
        <w:keepNext/>
        <w:keepLines/>
        <w:bidi/>
        <w:rPr>
          <w:rtl/>
        </w:rPr>
      </w:pPr>
      <w:r>
        <w:rPr>
          <w:rFonts w:hint="cs"/>
          <w:rtl/>
        </w:rPr>
        <w:t>سيتم تحديد المشاركين في مقابلات المبلغين الرئيسيين من بين مجموعات المشاركين، مع استهداف أعلى سلطة في كل مجموعة في المقام الأول، مثل المسؤول الطبي في المنطقة، أو مسؤول الصحة البيئية في المنطقة، أو زعيم المجتمع، أو زعيم مجتمع تعدين الذهب الحرفي والضيق النطاق (أو رؤساؤهم) أو مدير المنشأة الصحية.</w:t>
      </w:r>
      <w:r>
        <w:t xml:space="preserve"> </w:t>
      </w:r>
      <w:r>
        <w:rPr>
          <w:rFonts w:hint="cs"/>
          <w:rtl/>
        </w:rPr>
        <w:t>يمكن تحديد المبلغين الرئيسيين الآخرين ذوي الصلة من خلال طريقة أخذ العينات المتسلسلة.</w:t>
      </w:r>
      <w:r>
        <w:t xml:space="preserve"> </w:t>
      </w:r>
      <w:r>
        <w:rPr>
          <w:rFonts w:hint="cs"/>
          <w:rtl/>
        </w:rPr>
        <w:t>من المحتمل أن تمثل مقابلات المبلغين الرئيسيين في كل منطقة من مناطق تعدين الذهب الحرفي والضيق النطاق عينة شاملة تضم أفرادًا من جميع مجموعات المشاركين (انظر الملحق 2 للدليل التفصيلي).</w:t>
      </w:r>
    </w:p>
    <w:p w14:paraId="1AF9433A" w14:textId="463C530C" w:rsidR="00C7540F" w:rsidRPr="00E63DCC" w:rsidRDefault="00C7540F" w:rsidP="00A5640C">
      <w:pPr>
        <w:bidi/>
        <w:rPr>
          <w:rtl/>
        </w:rPr>
      </w:pPr>
      <w:r>
        <w:rPr>
          <w:rFonts w:hint="cs"/>
          <w:rtl/>
        </w:rPr>
        <w:t>سيتم انتقاء المشاركين في مناقشات مجموعة التركيز من قبل القائم بإجراء المقابلة والشريك المحلي في مواقع تعدين الذهب الحرفي والضيق النطاق وفي المجتمعات المرتبطة بالتنسيق مع المجتمع المحلي أو زعماء مجتمع التعدين والعاملين الصحيين في المجتمع.</w:t>
      </w:r>
      <w:r>
        <w:t xml:space="preserve"> </w:t>
      </w:r>
      <w:r>
        <w:rPr>
          <w:rFonts w:hint="cs"/>
          <w:rtl/>
        </w:rPr>
        <w:t>الأفراد الذين كانوا في المنطقة لمدة موسمين أو أكثر هم فقط المؤهلون للمشاركة في مجموعات النقاش المركز من أجل ضمان أن المشاركين قد تعرضوا لمدة معينة للظروف المحلية.</w:t>
      </w:r>
      <w:r>
        <w:t xml:space="preserve"> </w:t>
      </w:r>
    </w:p>
    <w:p w14:paraId="508095C6" w14:textId="070F3E7E" w:rsidR="00C7540F" w:rsidRPr="00E63DCC" w:rsidRDefault="00C7540F" w:rsidP="00A5640C">
      <w:pPr>
        <w:bidi/>
        <w:rPr>
          <w:rtl/>
        </w:rPr>
      </w:pPr>
      <w:r>
        <w:rPr>
          <w:rFonts w:hint="cs"/>
          <w:rtl/>
        </w:rPr>
        <w:t>يتم الحرص على ضمان اختيار عشوائي للمشاركين من حيث نوع العمل المنجز (مثل التنقيب عن الخام أو غسل الخام أو العمل بالزئبق)، أو الظروف (مثل العمال الموسميين مقابل العمال السنويين، وعمال المناوبة النهارية مقابل عمال المناوبة الليلية)، أو الخصائص الديموغرافية (مثل العمر).</w:t>
      </w:r>
      <w:r>
        <w:t xml:space="preserve"> </w:t>
      </w:r>
      <w:r>
        <w:rPr>
          <w:rFonts w:hint="cs"/>
          <w:rtl/>
        </w:rPr>
        <w:t>سيتم تحقيق ذلك إما من خلال جولات عشوائية أو أخذ العينات حسب القطاعات.</w:t>
      </w:r>
      <w:r>
        <w:t xml:space="preserve"> </w:t>
      </w:r>
      <w:r>
        <w:rPr>
          <w:rFonts w:hint="cs"/>
          <w:rtl/>
        </w:rPr>
        <w:t>ستتألف مناقشات مجموعات التركيز من ثمانية إلى عشرة مشاركين، مما يسمح بإجراء مناقشة تشاركية لمدة 45-90 دقيقة.</w:t>
      </w:r>
      <w:r>
        <w:t xml:space="preserve"> </w:t>
      </w:r>
      <w:r>
        <w:rPr>
          <w:rFonts w:hint="cs"/>
          <w:rtl/>
        </w:rPr>
        <w:t>سيتم إجراء مناقشات مجموعات تركيز خاصة بنوع جنسي ومختلطة بين الجنسين.</w:t>
      </w:r>
    </w:p>
    <w:p w14:paraId="6FFEA98A" w14:textId="46B526BD" w:rsidR="00C7540F" w:rsidRPr="00E63DCC" w:rsidRDefault="00C7540F" w:rsidP="00A5640C">
      <w:pPr>
        <w:bidi/>
        <w:rPr>
          <w:rtl/>
        </w:rPr>
      </w:pPr>
      <w:r>
        <w:rPr>
          <w:rFonts w:hint="cs"/>
          <w:rtl/>
        </w:rPr>
        <w:t>من المفترض أن تتم عادةً زيارة مرفق أو اثنين من منشآت الرعاية الصحية الأولية العامة (موقع صحي أو مركز صحي) التي تخدم مجتمع تعدين الذهب الحرفي والضيق النطاق في كل موقع وإخضاعهم لتقييم المنشآت الصحية.</w:t>
      </w:r>
      <w:r>
        <w:t xml:space="preserve"> </w:t>
      </w:r>
      <w:r>
        <w:rPr>
          <w:rFonts w:hint="cs"/>
          <w:rtl/>
        </w:rPr>
        <w:t>بالإضافة إلى ذلك، سيتم إدراج منشأة صحية من المستوى الأول للإحالة إلى منشأة أو منشآت الرعاية الصحية الأولية.</w:t>
      </w:r>
      <w:r>
        <w:t xml:space="preserve"> </w:t>
      </w:r>
      <w:r>
        <w:rPr>
          <w:rFonts w:hint="cs"/>
          <w:rtl/>
        </w:rPr>
        <w:t>ستكون المنشآت الأخيرة مهمة، حيث سيتم التعامل هنا مع الحالات الأكثر تعقيدًا (وبالتالي فهي تشكل رابطًا مهمًا في نظام الإحالة بالنسبة إلى تعدين الذهب الحرفي والضيق النطاق).</w:t>
      </w:r>
    </w:p>
    <w:p w14:paraId="17BB0075" w14:textId="5E0F8099" w:rsidR="00C7540F" w:rsidRPr="00E63DCC" w:rsidRDefault="00C7540F" w:rsidP="00A5640C">
      <w:pPr>
        <w:bidi/>
        <w:rPr>
          <w:rtl/>
        </w:rPr>
      </w:pPr>
      <w:r>
        <w:rPr>
          <w:rFonts w:hint="cs"/>
          <w:rtl/>
        </w:rPr>
        <w:lastRenderedPageBreak/>
        <w:t>سيتم طلب موافقة خطية بالنسبة لجميع المشاركين في مقابلات المبلغين الرئيسيين ومناقشات مجموعات التركيز.</w:t>
      </w:r>
      <w:r>
        <w:t xml:space="preserve"> </w:t>
      </w:r>
      <w:r>
        <w:rPr>
          <w:rFonts w:hint="cs"/>
          <w:rtl/>
        </w:rPr>
        <w:t>يتم استبعاد الأفراد الذين تقل أعمارهم عن 18 عامًا والأفراد الذين لا يتمتعون بقدرة كاملة على إصدار أحكام.</w:t>
      </w:r>
    </w:p>
    <w:p w14:paraId="734746DA" w14:textId="5ED13AE1" w:rsidR="00172EED" w:rsidRPr="00E63DCC" w:rsidRDefault="00172EED" w:rsidP="00A5640C">
      <w:pPr>
        <w:bidi/>
        <w:rPr>
          <w:rtl/>
        </w:rPr>
      </w:pPr>
      <w:r>
        <w:rPr>
          <w:rFonts w:hint="cs"/>
          <w:rtl/>
        </w:rPr>
        <w:t>وتجدر الإشارة إلى أن المشاركين في مناقشات مجموعات التركيز من مواقع تعدين الذهب الحرفي والضيق النطاق قد يكون لديهم خصائص اجتماعية ديموغرافية مختلفة (اختلافات في الجنسية أو خلفية الهجرة أو التعليم) وأنشطة مهنية قد تؤدي في النهاية إلى إرباك النتائج.</w:t>
      </w:r>
      <w:r>
        <w:t xml:space="preserve"> </w:t>
      </w:r>
      <w:r>
        <w:rPr>
          <w:rFonts w:hint="cs"/>
          <w:rtl/>
        </w:rPr>
        <w:t>سيؤدي الاختيار العشوائي للمشاركين إلى تقليل إمكانية تأثر الاختيار في الدراسة بالتحيز.</w:t>
      </w:r>
    </w:p>
    <w:p w14:paraId="2B307275" w14:textId="3A9AEF26" w:rsidR="00750206" w:rsidRPr="00E63DCC" w:rsidRDefault="00225B6F" w:rsidP="00A5640C">
      <w:pPr>
        <w:bidi/>
        <w:rPr>
          <w:rtl/>
        </w:rPr>
      </w:pPr>
      <w:r>
        <w:rPr>
          <w:rFonts w:hint="cs"/>
          <w:rtl/>
        </w:rPr>
        <w:t>[يُرجى تكييف الفقرات أعلاه مع تصميم دراستك.</w:t>
      </w:r>
      <w:r>
        <w:t xml:space="preserve"> </w:t>
      </w:r>
      <w:r>
        <w:rPr>
          <w:rFonts w:hint="cs"/>
          <w:rtl/>
        </w:rPr>
        <w:t>اذكر أحجام العينات التي اخترتها لكل موقع دراسة ولكل طريقة (مقابلة المبلغ الرئيسي، مناقشة مجموعة التركيز، تقييم المنشأة الصحية) بشكل منفصل.]</w:t>
      </w:r>
    </w:p>
    <w:p w14:paraId="7466C2BE" w14:textId="4C79627A" w:rsidR="00225B6F" w:rsidRPr="00482197" w:rsidRDefault="00225B6F" w:rsidP="009E4347">
      <w:pPr>
        <w:pStyle w:val="Normalboldhead"/>
        <w:bidi/>
        <w:rPr>
          <w:b w:val="0"/>
          <w:bCs/>
          <w:rtl/>
        </w:rPr>
      </w:pPr>
      <w:bookmarkStart w:id="38" w:name="_Hlk46569017"/>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p>
    <w:bookmarkEnd w:id="38"/>
    <w:p w14:paraId="217D8463" w14:textId="0EC70853" w:rsidR="00225B6F" w:rsidRPr="00E63DCC" w:rsidRDefault="00225B6F" w:rsidP="00A5640C">
      <w:pPr>
        <w:bidi/>
        <w:rPr>
          <w:rtl/>
        </w:rPr>
      </w:pPr>
      <w:r>
        <w:rPr>
          <w:rFonts w:hint="cs"/>
          <w:rtl/>
        </w:rPr>
        <w:t>يوضح الجدول 3 أحجام العينات المقدرة لكل بلد وطريقة جمع البيانات والموقع ومجموعة المشاركين.</w:t>
      </w:r>
      <w:r>
        <w:t xml:space="preserve"> </w:t>
      </w:r>
      <w:r>
        <w:rPr>
          <w:rFonts w:hint="cs"/>
          <w:rtl/>
        </w:rPr>
        <w:t>سيتم إجراء ما لا يقل إجمالاً عن 16 لقاء مبلغ رئيسي، و12 مناقشة مجموعة تركيز وأربعة تقييمات لمنشآت صحية لكل بلد، بافتراض وجود موقعين لتعدين الذهب الحرفي والضيق النطاق في كل بلد.</w:t>
      </w:r>
    </w:p>
    <w:p w14:paraId="59901B0B" w14:textId="04970843" w:rsidR="008125CD" w:rsidRPr="00E63DCC" w:rsidRDefault="00C7540F" w:rsidP="00A5640C">
      <w:pPr>
        <w:bidi/>
        <w:rPr>
          <w:rtl/>
        </w:rPr>
      </w:pPr>
      <w:bookmarkStart w:id="39" w:name="_Ref479427958"/>
      <w:r>
        <w:rPr>
          <w:rFonts w:hint="cs"/>
          <w:rtl/>
        </w:rPr>
        <w:t>[مثال للجدول]:</w:t>
      </w:r>
    </w:p>
    <w:p w14:paraId="7A152C98" w14:textId="6EFB7550" w:rsidR="00D86D53" w:rsidRPr="00482197" w:rsidRDefault="008874D2" w:rsidP="00C1393F">
      <w:pPr>
        <w:pStyle w:val="Tablehead"/>
        <w:bidi/>
        <w:rPr>
          <w:b w:val="0"/>
          <w:bCs/>
          <w:rtl/>
        </w:rPr>
      </w:pPr>
      <w:bookmarkStart w:id="40" w:name="_Toc66796458"/>
      <w:r w:rsidRPr="00482197">
        <w:rPr>
          <w:rFonts w:hint="cs"/>
          <w:b w:val="0"/>
          <w:bCs/>
          <w:rtl/>
        </w:rPr>
        <w:t xml:space="preserve">الجدول </w:t>
      </w:r>
      <w:r w:rsidR="00482197" w:rsidRPr="00482197">
        <w:rPr>
          <w:b w:val="0"/>
          <w:bCs/>
        </w:rPr>
        <w:fldChar w:fldCharType="begin"/>
      </w:r>
      <w:r w:rsidR="00482197" w:rsidRPr="00482197">
        <w:rPr>
          <w:b w:val="0"/>
          <w:bCs/>
        </w:rPr>
        <w:instrText xml:space="preserve"> SEQ Table \* ARABIC </w:instrText>
      </w:r>
      <w:r w:rsidR="00482197" w:rsidRPr="00482197">
        <w:rPr>
          <w:b w:val="0"/>
          <w:bCs/>
        </w:rPr>
        <w:fldChar w:fldCharType="separate"/>
      </w:r>
      <w:r w:rsidR="00482197" w:rsidRPr="00482197">
        <w:rPr>
          <w:b w:val="0"/>
          <w:bCs/>
          <w:noProof/>
        </w:rPr>
        <w:t>3</w:t>
      </w:r>
      <w:r w:rsidR="00482197" w:rsidRPr="00482197">
        <w:rPr>
          <w:b w:val="0"/>
          <w:bCs/>
          <w:noProof/>
        </w:rPr>
        <w:fldChar w:fldCharType="end"/>
      </w:r>
      <w:bookmarkEnd w:id="39"/>
      <w:r w:rsidRPr="00482197">
        <w:rPr>
          <w:rFonts w:hint="cs"/>
          <w:b w:val="0"/>
          <w:bCs/>
          <w:rtl/>
        </w:rPr>
        <w:t>.</w:t>
      </w:r>
      <w:r w:rsidRPr="00482197">
        <w:rPr>
          <w:b w:val="0"/>
          <w:bCs/>
        </w:rPr>
        <w:t xml:space="preserve"> </w:t>
      </w:r>
      <w:r w:rsidRPr="00482197">
        <w:rPr>
          <w:rFonts w:hint="cs"/>
          <w:b w:val="0"/>
          <w:bCs/>
          <w:rtl/>
        </w:rPr>
        <w:t>أحجام العينات المقدرة</w:t>
      </w:r>
      <w:bookmarkEnd w:id="40"/>
    </w:p>
    <w:tbl>
      <w:tblPr>
        <w:bidiVisual/>
        <w:tblW w:w="8520"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02"/>
        <w:gridCol w:w="3062"/>
        <w:gridCol w:w="1281"/>
        <w:gridCol w:w="1282"/>
        <w:gridCol w:w="2693"/>
      </w:tblGrid>
      <w:tr w:rsidR="00C1393F" w:rsidRPr="00E63DCC" w14:paraId="7AC0F410" w14:textId="77777777" w:rsidTr="00B711EE">
        <w:trPr>
          <w:trHeight w:val="274"/>
        </w:trPr>
        <w:tc>
          <w:tcPr>
            <w:tcW w:w="3264" w:type="dxa"/>
            <w:gridSpan w:val="2"/>
            <w:vMerge w:val="restart"/>
            <w:shd w:val="clear" w:color="auto" w:fill="CCFFFF"/>
            <w:noWrap/>
            <w:vAlign w:val="bottom"/>
            <w:hideMark/>
          </w:tcPr>
          <w:p w14:paraId="1554C855" w14:textId="65923FD0" w:rsidR="00C1393F" w:rsidRPr="00E63DCC" w:rsidRDefault="00FD214B" w:rsidP="00B711EE">
            <w:pPr>
              <w:pStyle w:val="Tabletext0"/>
              <w:bidi/>
              <w:spacing w:before="240"/>
              <w:outlineLvl w:val="7"/>
              <w:rPr>
                <w:b/>
                <w:rtl/>
              </w:rPr>
            </w:pPr>
            <w:r>
              <w:rPr>
                <w:rFonts w:hint="cs"/>
                <w:b/>
                <w:bCs/>
                <w:rtl/>
              </w:rPr>
              <w:t>المشاركون</w:t>
            </w:r>
          </w:p>
        </w:tc>
        <w:tc>
          <w:tcPr>
            <w:tcW w:w="2563" w:type="dxa"/>
            <w:gridSpan w:val="2"/>
            <w:shd w:val="clear" w:color="auto" w:fill="CCFFFF"/>
            <w:noWrap/>
            <w:vAlign w:val="bottom"/>
            <w:hideMark/>
          </w:tcPr>
          <w:p w14:paraId="7096308E" w14:textId="2C79871A" w:rsidR="00C1393F" w:rsidRPr="00E63DCC" w:rsidRDefault="00C1393F" w:rsidP="00235E1E">
            <w:pPr>
              <w:pStyle w:val="Tabletext0"/>
              <w:bidi/>
              <w:jc w:val="center"/>
              <w:rPr>
                <w:b/>
                <w:bCs/>
                <w:rtl/>
              </w:rPr>
            </w:pPr>
            <w:r>
              <w:rPr>
                <w:rFonts w:hint="cs"/>
                <w:b/>
                <w:bCs/>
                <w:rtl/>
              </w:rPr>
              <w:t>[اسم البلد]:</w:t>
            </w:r>
          </w:p>
        </w:tc>
        <w:tc>
          <w:tcPr>
            <w:tcW w:w="2693" w:type="dxa"/>
            <w:vMerge w:val="restart"/>
            <w:shd w:val="clear" w:color="auto" w:fill="CCFFFF"/>
            <w:noWrap/>
            <w:vAlign w:val="bottom"/>
            <w:hideMark/>
          </w:tcPr>
          <w:p w14:paraId="4C6FDEBE" w14:textId="77777777" w:rsidR="00C1393F" w:rsidRPr="00E63DCC" w:rsidRDefault="00C1393F" w:rsidP="00235E1E">
            <w:pPr>
              <w:pStyle w:val="Tabletext0"/>
              <w:bidi/>
              <w:rPr>
                <w:b/>
                <w:bCs/>
                <w:rtl/>
              </w:rPr>
            </w:pPr>
            <w:r>
              <w:rPr>
                <w:rFonts w:hint="cs"/>
                <w:b/>
                <w:bCs/>
                <w:rtl/>
              </w:rPr>
              <w:t>الإجمالي</w:t>
            </w:r>
          </w:p>
        </w:tc>
      </w:tr>
      <w:tr w:rsidR="00C1393F" w:rsidRPr="00E63DCC" w14:paraId="041EAFB0" w14:textId="77777777" w:rsidTr="00B711EE">
        <w:trPr>
          <w:trHeight w:val="274"/>
        </w:trPr>
        <w:tc>
          <w:tcPr>
            <w:tcW w:w="3264" w:type="dxa"/>
            <w:gridSpan w:val="2"/>
            <w:vMerge/>
            <w:shd w:val="clear" w:color="auto" w:fill="D9D9D9" w:themeFill="background1" w:themeFillShade="D9"/>
            <w:noWrap/>
            <w:vAlign w:val="bottom"/>
            <w:hideMark/>
          </w:tcPr>
          <w:p w14:paraId="1B5BA28B" w14:textId="77777777" w:rsidR="00C1393F" w:rsidRPr="00E63DCC" w:rsidRDefault="00C1393F" w:rsidP="00235E1E">
            <w:pPr>
              <w:pStyle w:val="Tabletext0"/>
              <w:rPr>
                <w:lang w:eastAsia="de-CH"/>
              </w:rPr>
            </w:pPr>
          </w:p>
        </w:tc>
        <w:tc>
          <w:tcPr>
            <w:tcW w:w="1281" w:type="dxa"/>
            <w:shd w:val="clear" w:color="auto" w:fill="FFFF99"/>
            <w:noWrap/>
            <w:vAlign w:val="bottom"/>
            <w:hideMark/>
          </w:tcPr>
          <w:p w14:paraId="257772AF" w14:textId="77777777" w:rsidR="00C1393F" w:rsidRPr="00E63DCC" w:rsidRDefault="00C1393F" w:rsidP="00235E1E">
            <w:pPr>
              <w:pStyle w:val="Tabletext0"/>
              <w:bidi/>
              <w:jc w:val="center"/>
              <w:rPr>
                <w:b/>
                <w:rtl/>
              </w:rPr>
            </w:pPr>
            <w:r>
              <w:rPr>
                <w:rFonts w:hint="cs"/>
                <w:b/>
                <w:bCs/>
                <w:rtl/>
              </w:rPr>
              <w:t>الموقع 1</w:t>
            </w:r>
          </w:p>
        </w:tc>
        <w:tc>
          <w:tcPr>
            <w:tcW w:w="1282" w:type="dxa"/>
            <w:shd w:val="clear" w:color="auto" w:fill="FFFF99"/>
            <w:noWrap/>
            <w:vAlign w:val="bottom"/>
            <w:hideMark/>
          </w:tcPr>
          <w:p w14:paraId="72776249" w14:textId="7E320F22" w:rsidR="00C1393F" w:rsidRPr="00E63DCC" w:rsidRDefault="00C1393F" w:rsidP="00235E1E">
            <w:pPr>
              <w:pStyle w:val="Tabletext0"/>
              <w:bidi/>
              <w:jc w:val="center"/>
              <w:rPr>
                <w:b/>
                <w:rtl/>
              </w:rPr>
            </w:pPr>
            <w:r>
              <w:rPr>
                <w:rFonts w:hint="cs"/>
                <w:b/>
                <w:bCs/>
                <w:rtl/>
              </w:rPr>
              <w:t>الموقع 2</w:t>
            </w:r>
          </w:p>
        </w:tc>
        <w:tc>
          <w:tcPr>
            <w:tcW w:w="2693" w:type="dxa"/>
            <w:vMerge/>
            <w:shd w:val="clear" w:color="auto" w:fill="D9D9D9" w:themeFill="background1" w:themeFillShade="D9"/>
            <w:noWrap/>
            <w:vAlign w:val="bottom"/>
            <w:hideMark/>
          </w:tcPr>
          <w:p w14:paraId="5D864C01" w14:textId="77777777" w:rsidR="00C1393F" w:rsidRPr="00E63DCC" w:rsidRDefault="00C1393F" w:rsidP="00235E1E">
            <w:pPr>
              <w:pStyle w:val="Tabletext0"/>
              <w:rPr>
                <w:b/>
                <w:bCs/>
                <w:lang w:eastAsia="de-CH"/>
              </w:rPr>
            </w:pPr>
          </w:p>
        </w:tc>
      </w:tr>
      <w:tr w:rsidR="008228E9" w:rsidRPr="00E63DCC" w14:paraId="3A4725AC"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2846A6F1" w14:textId="77777777" w:rsidR="008228E9" w:rsidRPr="00E63DCC" w:rsidRDefault="008228E9" w:rsidP="00235E1E">
            <w:pPr>
              <w:pStyle w:val="Tabletext0"/>
              <w:bidi/>
              <w:rPr>
                <w:b/>
                <w:rtl/>
              </w:rPr>
            </w:pPr>
            <w:r>
              <w:rPr>
                <w:rFonts w:hint="cs"/>
                <w:b/>
                <w:bCs/>
                <w:rtl/>
              </w:rPr>
              <w:t>اللقاء مع المبلغ الرئيسي</w:t>
            </w:r>
          </w:p>
        </w:tc>
        <w:tc>
          <w:tcPr>
            <w:tcW w:w="2563" w:type="dxa"/>
            <w:gridSpan w:val="2"/>
            <w:shd w:val="clear" w:color="auto" w:fill="auto"/>
            <w:noWrap/>
            <w:vAlign w:val="bottom"/>
            <w:hideMark/>
          </w:tcPr>
          <w:p w14:paraId="5D2C5D55" w14:textId="4D40CAE2" w:rsidR="008228E9" w:rsidRPr="00E63DCC" w:rsidRDefault="00225B6F" w:rsidP="00235E1E">
            <w:pPr>
              <w:pStyle w:val="Tabletext0"/>
              <w:bidi/>
              <w:jc w:val="center"/>
              <w:rPr>
                <w:rtl/>
              </w:rPr>
            </w:pPr>
            <w:r>
              <w:rPr>
                <w:rFonts w:hint="cs"/>
                <w:rtl/>
              </w:rPr>
              <w:t>[يُرجى ضبط الأرقام]</w:t>
            </w:r>
          </w:p>
        </w:tc>
        <w:tc>
          <w:tcPr>
            <w:tcW w:w="2693" w:type="dxa"/>
            <w:shd w:val="clear" w:color="auto" w:fill="auto"/>
            <w:noWrap/>
            <w:vAlign w:val="bottom"/>
            <w:hideMark/>
          </w:tcPr>
          <w:p w14:paraId="31844490" w14:textId="49B42328" w:rsidR="008228E9" w:rsidRPr="00E63DCC" w:rsidRDefault="00225B6F" w:rsidP="00235E1E">
            <w:pPr>
              <w:pStyle w:val="Tabletext0"/>
              <w:bidi/>
              <w:rPr>
                <w:rtl/>
              </w:rPr>
            </w:pPr>
            <w:r>
              <w:rPr>
                <w:rFonts w:hint="cs"/>
                <w:rtl/>
              </w:rPr>
              <w:t>[يُرجى ضبط الأرقام]</w:t>
            </w:r>
          </w:p>
        </w:tc>
      </w:tr>
      <w:tr w:rsidR="00780B3D" w:rsidRPr="00E63DCC" w14:paraId="23D0A920" w14:textId="77777777" w:rsidTr="00780B3D">
        <w:trPr>
          <w:trHeight w:val="274"/>
        </w:trPr>
        <w:tc>
          <w:tcPr>
            <w:tcW w:w="202" w:type="dxa"/>
            <w:tcBorders>
              <w:right w:val="nil"/>
            </w:tcBorders>
            <w:shd w:val="clear" w:color="auto" w:fill="auto"/>
            <w:noWrap/>
            <w:vAlign w:val="bottom"/>
            <w:hideMark/>
          </w:tcPr>
          <w:p w14:paraId="567D1DC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18EB995C" w14:textId="1EB59451" w:rsidR="008228E9" w:rsidRPr="00E63DCC" w:rsidRDefault="008228E9" w:rsidP="00235E1E">
            <w:pPr>
              <w:pStyle w:val="Tabletext0"/>
              <w:bidi/>
              <w:rPr>
                <w:rtl/>
              </w:rPr>
            </w:pPr>
            <w:r>
              <w:rPr>
                <w:rFonts w:hint="cs"/>
                <w:rtl/>
              </w:rPr>
              <w:t>المسؤولون الحكوميون</w:t>
            </w:r>
          </w:p>
        </w:tc>
        <w:tc>
          <w:tcPr>
            <w:tcW w:w="1281" w:type="dxa"/>
            <w:shd w:val="clear" w:color="auto" w:fill="auto"/>
            <w:noWrap/>
            <w:vAlign w:val="bottom"/>
            <w:hideMark/>
          </w:tcPr>
          <w:p w14:paraId="216717E5" w14:textId="77777777" w:rsidR="008228E9" w:rsidRPr="00E63DCC" w:rsidRDefault="008228E9" w:rsidP="00235E1E">
            <w:pPr>
              <w:pStyle w:val="Tabletext0"/>
              <w:bidi/>
              <w:jc w:val="center"/>
              <w:rPr>
                <w:rtl/>
              </w:rPr>
            </w:pPr>
            <w:r>
              <w:rPr>
                <w:rFonts w:hint="cs"/>
                <w:rtl/>
              </w:rPr>
              <w:t>1</w:t>
            </w:r>
          </w:p>
        </w:tc>
        <w:tc>
          <w:tcPr>
            <w:tcW w:w="1282" w:type="dxa"/>
            <w:shd w:val="clear" w:color="auto" w:fill="auto"/>
            <w:noWrap/>
            <w:vAlign w:val="bottom"/>
            <w:hideMark/>
          </w:tcPr>
          <w:p w14:paraId="0B0C6BE2" w14:textId="617B7573" w:rsidR="008228E9" w:rsidRPr="00E63DCC" w:rsidRDefault="008228E9" w:rsidP="00235E1E">
            <w:pPr>
              <w:pStyle w:val="Tabletext0"/>
              <w:bidi/>
              <w:jc w:val="center"/>
              <w:rPr>
                <w:rtl/>
              </w:rPr>
            </w:pPr>
            <w:r>
              <w:rPr>
                <w:rFonts w:hint="cs"/>
                <w:rtl/>
              </w:rPr>
              <w:t>1</w:t>
            </w:r>
          </w:p>
        </w:tc>
        <w:tc>
          <w:tcPr>
            <w:tcW w:w="2693" w:type="dxa"/>
            <w:shd w:val="clear" w:color="auto" w:fill="auto"/>
            <w:noWrap/>
            <w:vAlign w:val="bottom"/>
            <w:hideMark/>
          </w:tcPr>
          <w:p w14:paraId="3868B410" w14:textId="6AFF92E4" w:rsidR="008228E9" w:rsidRPr="00E63DCC" w:rsidRDefault="008228E9" w:rsidP="00235E1E">
            <w:pPr>
              <w:pStyle w:val="Tabletext0"/>
              <w:rPr>
                <w:lang w:eastAsia="de-CH"/>
              </w:rPr>
            </w:pPr>
          </w:p>
        </w:tc>
      </w:tr>
      <w:tr w:rsidR="00780B3D" w:rsidRPr="00E63DCC" w14:paraId="525A50C8" w14:textId="77777777" w:rsidTr="00780B3D">
        <w:trPr>
          <w:trHeight w:val="274"/>
        </w:trPr>
        <w:tc>
          <w:tcPr>
            <w:tcW w:w="202" w:type="dxa"/>
            <w:tcBorders>
              <w:right w:val="nil"/>
            </w:tcBorders>
            <w:shd w:val="clear" w:color="auto" w:fill="auto"/>
            <w:noWrap/>
            <w:vAlign w:val="bottom"/>
            <w:hideMark/>
          </w:tcPr>
          <w:p w14:paraId="16F4E5E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C248803" w14:textId="77777777" w:rsidR="008228E9" w:rsidRPr="00E63DCC" w:rsidRDefault="008228E9" w:rsidP="00235E1E">
            <w:pPr>
              <w:pStyle w:val="Tabletext0"/>
              <w:bidi/>
              <w:rPr>
                <w:rtl/>
              </w:rPr>
            </w:pPr>
            <w:r>
              <w:rPr>
                <w:rFonts w:hint="cs"/>
                <w:rtl/>
              </w:rPr>
              <w:t>الهيئات الصحية</w:t>
            </w:r>
          </w:p>
        </w:tc>
        <w:tc>
          <w:tcPr>
            <w:tcW w:w="1281" w:type="dxa"/>
            <w:shd w:val="clear" w:color="auto" w:fill="auto"/>
            <w:noWrap/>
            <w:vAlign w:val="bottom"/>
            <w:hideMark/>
          </w:tcPr>
          <w:p w14:paraId="3082C4AA" w14:textId="77777777" w:rsidR="008228E9" w:rsidRPr="00E63DCC" w:rsidRDefault="008228E9" w:rsidP="00235E1E">
            <w:pPr>
              <w:pStyle w:val="Tabletext0"/>
              <w:bidi/>
              <w:jc w:val="center"/>
              <w:rPr>
                <w:rtl/>
              </w:rPr>
            </w:pPr>
            <w:r>
              <w:rPr>
                <w:rFonts w:hint="cs"/>
                <w:rtl/>
              </w:rPr>
              <w:t>1</w:t>
            </w:r>
          </w:p>
        </w:tc>
        <w:tc>
          <w:tcPr>
            <w:tcW w:w="1282" w:type="dxa"/>
            <w:shd w:val="clear" w:color="auto" w:fill="auto"/>
            <w:noWrap/>
            <w:vAlign w:val="bottom"/>
            <w:hideMark/>
          </w:tcPr>
          <w:p w14:paraId="23BF84FA" w14:textId="58559E68" w:rsidR="008228E9" w:rsidRPr="00E63DCC" w:rsidRDefault="008228E9" w:rsidP="00235E1E">
            <w:pPr>
              <w:pStyle w:val="Tabletext0"/>
              <w:bidi/>
              <w:jc w:val="center"/>
              <w:rPr>
                <w:rtl/>
              </w:rPr>
            </w:pPr>
            <w:r>
              <w:rPr>
                <w:rFonts w:hint="cs"/>
                <w:rtl/>
              </w:rPr>
              <w:t>1</w:t>
            </w:r>
          </w:p>
        </w:tc>
        <w:tc>
          <w:tcPr>
            <w:tcW w:w="2693" w:type="dxa"/>
            <w:shd w:val="clear" w:color="auto" w:fill="auto"/>
            <w:noWrap/>
            <w:vAlign w:val="bottom"/>
          </w:tcPr>
          <w:p w14:paraId="3A43B3ED" w14:textId="69B31675" w:rsidR="008228E9" w:rsidRPr="00E63DCC" w:rsidRDefault="008228E9" w:rsidP="00235E1E">
            <w:pPr>
              <w:pStyle w:val="Tabletext0"/>
              <w:rPr>
                <w:lang w:eastAsia="de-CH"/>
              </w:rPr>
            </w:pPr>
          </w:p>
        </w:tc>
      </w:tr>
      <w:tr w:rsidR="00780B3D" w:rsidRPr="00E63DCC" w14:paraId="3F11FA9F" w14:textId="77777777" w:rsidTr="00780B3D">
        <w:trPr>
          <w:trHeight w:val="274"/>
        </w:trPr>
        <w:tc>
          <w:tcPr>
            <w:tcW w:w="202" w:type="dxa"/>
            <w:tcBorders>
              <w:right w:val="nil"/>
            </w:tcBorders>
            <w:shd w:val="clear" w:color="auto" w:fill="auto"/>
            <w:noWrap/>
            <w:vAlign w:val="bottom"/>
          </w:tcPr>
          <w:p w14:paraId="6DD9DFA5"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5A65B8B9" w14:textId="77777777" w:rsidR="008228E9" w:rsidRPr="00E63DCC" w:rsidRDefault="008228E9" w:rsidP="00235E1E">
            <w:pPr>
              <w:pStyle w:val="Tabletext0"/>
              <w:bidi/>
              <w:rPr>
                <w:rtl/>
              </w:rPr>
            </w:pPr>
            <w:r>
              <w:rPr>
                <w:rFonts w:hint="cs"/>
                <w:rtl/>
              </w:rPr>
              <w:t>الهيئات البيئية</w:t>
            </w:r>
          </w:p>
        </w:tc>
        <w:tc>
          <w:tcPr>
            <w:tcW w:w="1281" w:type="dxa"/>
            <w:shd w:val="clear" w:color="auto" w:fill="auto"/>
            <w:noWrap/>
            <w:vAlign w:val="bottom"/>
          </w:tcPr>
          <w:p w14:paraId="0B6C6DBF" w14:textId="77777777" w:rsidR="008228E9" w:rsidRPr="00E63DCC" w:rsidRDefault="008228E9" w:rsidP="00235E1E">
            <w:pPr>
              <w:pStyle w:val="Tabletext0"/>
              <w:bidi/>
              <w:jc w:val="center"/>
              <w:rPr>
                <w:rtl/>
              </w:rPr>
            </w:pPr>
            <w:r>
              <w:rPr>
                <w:rFonts w:hint="cs"/>
                <w:rtl/>
              </w:rPr>
              <w:t>1</w:t>
            </w:r>
          </w:p>
        </w:tc>
        <w:tc>
          <w:tcPr>
            <w:tcW w:w="1282" w:type="dxa"/>
            <w:shd w:val="clear" w:color="auto" w:fill="auto"/>
            <w:noWrap/>
            <w:vAlign w:val="bottom"/>
          </w:tcPr>
          <w:p w14:paraId="59BAF860" w14:textId="67AAEF9E" w:rsidR="008228E9" w:rsidRPr="00E63DCC" w:rsidRDefault="008228E9" w:rsidP="00235E1E">
            <w:pPr>
              <w:pStyle w:val="Tabletext0"/>
              <w:bidi/>
              <w:jc w:val="center"/>
              <w:rPr>
                <w:rtl/>
              </w:rPr>
            </w:pPr>
            <w:r>
              <w:rPr>
                <w:rFonts w:hint="cs"/>
                <w:rtl/>
              </w:rPr>
              <w:t>1</w:t>
            </w:r>
          </w:p>
        </w:tc>
        <w:tc>
          <w:tcPr>
            <w:tcW w:w="2693" w:type="dxa"/>
            <w:shd w:val="clear" w:color="auto" w:fill="auto"/>
            <w:noWrap/>
            <w:vAlign w:val="bottom"/>
          </w:tcPr>
          <w:p w14:paraId="5C8A41FA" w14:textId="16717A6C" w:rsidR="008228E9" w:rsidRPr="00E63DCC" w:rsidRDefault="008228E9" w:rsidP="00235E1E">
            <w:pPr>
              <w:pStyle w:val="Tabletext0"/>
              <w:rPr>
                <w:lang w:eastAsia="de-CH"/>
              </w:rPr>
            </w:pPr>
          </w:p>
        </w:tc>
      </w:tr>
      <w:tr w:rsidR="00780B3D" w:rsidRPr="00E63DCC" w14:paraId="28A05638" w14:textId="77777777" w:rsidTr="00780B3D">
        <w:trPr>
          <w:trHeight w:val="274"/>
        </w:trPr>
        <w:tc>
          <w:tcPr>
            <w:tcW w:w="202" w:type="dxa"/>
            <w:tcBorders>
              <w:right w:val="nil"/>
            </w:tcBorders>
            <w:shd w:val="clear" w:color="auto" w:fill="auto"/>
            <w:noWrap/>
            <w:vAlign w:val="bottom"/>
            <w:hideMark/>
          </w:tcPr>
          <w:p w14:paraId="2FC887B2"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3B0A7AA7" w14:textId="77777777" w:rsidR="008228E9" w:rsidRPr="00E63DCC" w:rsidRDefault="008228E9" w:rsidP="00235E1E">
            <w:pPr>
              <w:pStyle w:val="Tabletext0"/>
              <w:bidi/>
              <w:rPr>
                <w:rtl/>
              </w:rPr>
            </w:pPr>
            <w:r>
              <w:rPr>
                <w:rFonts w:hint="cs"/>
                <w:rtl/>
              </w:rPr>
              <w:t>مقدمو الرعاية الصحية</w:t>
            </w:r>
          </w:p>
        </w:tc>
        <w:tc>
          <w:tcPr>
            <w:tcW w:w="1281" w:type="dxa"/>
            <w:shd w:val="clear" w:color="auto" w:fill="auto"/>
            <w:noWrap/>
            <w:vAlign w:val="bottom"/>
            <w:hideMark/>
          </w:tcPr>
          <w:p w14:paraId="1C101AFB" w14:textId="3707B8A6" w:rsidR="008228E9" w:rsidRPr="00E63DCC" w:rsidRDefault="008228E9" w:rsidP="00235E1E">
            <w:pPr>
              <w:pStyle w:val="Tabletext0"/>
              <w:bidi/>
              <w:jc w:val="center"/>
              <w:rPr>
                <w:rtl/>
              </w:rPr>
            </w:pPr>
            <w:r>
              <w:rPr>
                <w:rFonts w:hint="cs"/>
                <w:rtl/>
              </w:rPr>
              <w:t>2-3</w:t>
            </w:r>
          </w:p>
        </w:tc>
        <w:tc>
          <w:tcPr>
            <w:tcW w:w="1282" w:type="dxa"/>
            <w:shd w:val="clear" w:color="auto" w:fill="auto"/>
            <w:noWrap/>
            <w:vAlign w:val="bottom"/>
            <w:hideMark/>
          </w:tcPr>
          <w:p w14:paraId="30E7DF82" w14:textId="3E438E3F" w:rsidR="008228E9" w:rsidRPr="00E63DCC" w:rsidRDefault="008228E9" w:rsidP="00235E1E">
            <w:pPr>
              <w:pStyle w:val="Tabletext0"/>
              <w:bidi/>
              <w:jc w:val="center"/>
              <w:rPr>
                <w:rtl/>
              </w:rPr>
            </w:pPr>
            <w:r>
              <w:rPr>
                <w:rFonts w:hint="cs"/>
                <w:rtl/>
              </w:rPr>
              <w:t>2-3</w:t>
            </w:r>
          </w:p>
        </w:tc>
        <w:tc>
          <w:tcPr>
            <w:tcW w:w="2693" w:type="dxa"/>
            <w:shd w:val="clear" w:color="auto" w:fill="auto"/>
            <w:noWrap/>
            <w:vAlign w:val="bottom"/>
          </w:tcPr>
          <w:p w14:paraId="7087E670" w14:textId="1A7234A3" w:rsidR="008228E9" w:rsidRPr="00E63DCC" w:rsidRDefault="008228E9" w:rsidP="00235E1E">
            <w:pPr>
              <w:pStyle w:val="Tabletext0"/>
              <w:rPr>
                <w:lang w:eastAsia="de-CH"/>
              </w:rPr>
            </w:pPr>
          </w:p>
        </w:tc>
      </w:tr>
      <w:tr w:rsidR="00780B3D" w:rsidRPr="00E63DCC" w14:paraId="21741C03" w14:textId="77777777" w:rsidTr="00780B3D">
        <w:trPr>
          <w:trHeight w:val="274"/>
        </w:trPr>
        <w:tc>
          <w:tcPr>
            <w:tcW w:w="202" w:type="dxa"/>
            <w:tcBorders>
              <w:right w:val="nil"/>
            </w:tcBorders>
            <w:shd w:val="clear" w:color="auto" w:fill="auto"/>
            <w:noWrap/>
            <w:vAlign w:val="bottom"/>
          </w:tcPr>
          <w:p w14:paraId="2A185BD1"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0387209E" w14:textId="40B4EDD7" w:rsidR="008228E9" w:rsidRPr="00E63DCC" w:rsidRDefault="008228E9" w:rsidP="00235E1E">
            <w:pPr>
              <w:pStyle w:val="Tabletext0"/>
              <w:bidi/>
              <w:rPr>
                <w:rtl/>
              </w:rPr>
            </w:pPr>
            <w:r>
              <w:rPr>
                <w:rFonts w:hint="cs"/>
                <w:rtl/>
              </w:rPr>
              <w:t>المجتمع وزعماء مجتمع تعدين الذهب الحرفي والضيق النطاق</w:t>
            </w:r>
          </w:p>
        </w:tc>
        <w:tc>
          <w:tcPr>
            <w:tcW w:w="1281" w:type="dxa"/>
            <w:shd w:val="clear" w:color="auto" w:fill="auto"/>
            <w:noWrap/>
            <w:vAlign w:val="bottom"/>
          </w:tcPr>
          <w:p w14:paraId="71FB1002" w14:textId="78151A9B" w:rsidR="008228E9" w:rsidRPr="00E63DCC" w:rsidRDefault="008228E9" w:rsidP="00235E1E">
            <w:pPr>
              <w:pStyle w:val="Tabletext0"/>
              <w:bidi/>
              <w:jc w:val="center"/>
              <w:rPr>
                <w:rtl/>
              </w:rPr>
            </w:pPr>
            <w:r>
              <w:rPr>
                <w:rFonts w:hint="cs"/>
                <w:rtl/>
              </w:rPr>
              <w:t>2-3</w:t>
            </w:r>
          </w:p>
        </w:tc>
        <w:tc>
          <w:tcPr>
            <w:tcW w:w="1282" w:type="dxa"/>
            <w:shd w:val="clear" w:color="auto" w:fill="auto"/>
            <w:noWrap/>
            <w:vAlign w:val="bottom"/>
          </w:tcPr>
          <w:p w14:paraId="47A208EC" w14:textId="5CAAB3C7" w:rsidR="008228E9" w:rsidRPr="00E63DCC" w:rsidRDefault="008228E9" w:rsidP="00235E1E">
            <w:pPr>
              <w:pStyle w:val="Tabletext0"/>
              <w:bidi/>
              <w:jc w:val="center"/>
              <w:rPr>
                <w:rtl/>
              </w:rPr>
            </w:pPr>
            <w:r>
              <w:rPr>
                <w:rFonts w:hint="cs"/>
                <w:rtl/>
              </w:rPr>
              <w:t>2-3</w:t>
            </w:r>
          </w:p>
        </w:tc>
        <w:tc>
          <w:tcPr>
            <w:tcW w:w="2693" w:type="dxa"/>
            <w:shd w:val="clear" w:color="auto" w:fill="auto"/>
            <w:noWrap/>
            <w:vAlign w:val="bottom"/>
          </w:tcPr>
          <w:p w14:paraId="50CE9D44" w14:textId="5DEDE3E1" w:rsidR="008228E9" w:rsidRPr="00E63DCC" w:rsidRDefault="008228E9" w:rsidP="00235E1E">
            <w:pPr>
              <w:pStyle w:val="Tabletext0"/>
              <w:rPr>
                <w:lang w:eastAsia="de-CH"/>
              </w:rPr>
            </w:pPr>
          </w:p>
        </w:tc>
      </w:tr>
      <w:tr w:rsidR="00780B3D" w:rsidRPr="00E63DCC" w14:paraId="1F1DE364" w14:textId="77777777" w:rsidTr="00780B3D">
        <w:trPr>
          <w:trHeight w:val="274"/>
        </w:trPr>
        <w:tc>
          <w:tcPr>
            <w:tcW w:w="202" w:type="dxa"/>
            <w:tcBorders>
              <w:right w:val="nil"/>
            </w:tcBorders>
            <w:shd w:val="clear" w:color="auto" w:fill="auto"/>
            <w:noWrap/>
            <w:vAlign w:val="bottom"/>
            <w:hideMark/>
          </w:tcPr>
          <w:p w14:paraId="7E635E8D"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52F41A8" w14:textId="09A70A35" w:rsidR="008228E9" w:rsidRPr="00E63DCC" w:rsidRDefault="008228E9" w:rsidP="00235E1E">
            <w:pPr>
              <w:pStyle w:val="Tabletext0"/>
              <w:bidi/>
              <w:rPr>
                <w:rtl/>
              </w:rPr>
            </w:pPr>
            <w:r>
              <w:rPr>
                <w:rFonts w:hint="cs"/>
                <w:rtl/>
              </w:rPr>
              <w:t>منظمات المجتمع المدني</w:t>
            </w:r>
          </w:p>
        </w:tc>
        <w:tc>
          <w:tcPr>
            <w:tcW w:w="1281" w:type="dxa"/>
            <w:shd w:val="clear" w:color="auto" w:fill="auto"/>
            <w:noWrap/>
            <w:vAlign w:val="bottom"/>
            <w:hideMark/>
          </w:tcPr>
          <w:p w14:paraId="40F69C61" w14:textId="1BBFC2B8" w:rsidR="008228E9" w:rsidRPr="00E63DCC" w:rsidRDefault="008228E9" w:rsidP="00235E1E">
            <w:pPr>
              <w:pStyle w:val="Tabletext0"/>
              <w:bidi/>
              <w:jc w:val="center"/>
              <w:rPr>
                <w:rtl/>
              </w:rPr>
            </w:pPr>
            <w:r>
              <w:rPr>
                <w:rFonts w:hint="cs"/>
                <w:rtl/>
              </w:rPr>
              <w:t>1-2</w:t>
            </w:r>
          </w:p>
        </w:tc>
        <w:tc>
          <w:tcPr>
            <w:tcW w:w="1282" w:type="dxa"/>
            <w:shd w:val="clear" w:color="auto" w:fill="auto"/>
            <w:noWrap/>
            <w:vAlign w:val="bottom"/>
            <w:hideMark/>
          </w:tcPr>
          <w:p w14:paraId="4FDA009E" w14:textId="269DD620" w:rsidR="008228E9" w:rsidRPr="00E63DCC" w:rsidRDefault="008228E9" w:rsidP="00235E1E">
            <w:pPr>
              <w:pStyle w:val="Tabletext0"/>
              <w:bidi/>
              <w:jc w:val="center"/>
              <w:rPr>
                <w:rtl/>
              </w:rPr>
            </w:pPr>
            <w:r>
              <w:rPr>
                <w:rFonts w:hint="cs"/>
                <w:rtl/>
              </w:rPr>
              <w:t>1-2</w:t>
            </w:r>
          </w:p>
        </w:tc>
        <w:tc>
          <w:tcPr>
            <w:tcW w:w="2693" w:type="dxa"/>
            <w:shd w:val="clear" w:color="auto" w:fill="auto"/>
            <w:noWrap/>
            <w:vAlign w:val="bottom"/>
          </w:tcPr>
          <w:p w14:paraId="2BCE2994" w14:textId="0A4C22F5" w:rsidR="008228E9" w:rsidRPr="00E63DCC" w:rsidRDefault="008228E9" w:rsidP="00235E1E">
            <w:pPr>
              <w:pStyle w:val="Tabletext0"/>
              <w:rPr>
                <w:lang w:eastAsia="de-CH"/>
              </w:rPr>
            </w:pPr>
          </w:p>
        </w:tc>
      </w:tr>
      <w:tr w:rsidR="00780B3D" w:rsidRPr="00E63DCC" w14:paraId="75F173CF" w14:textId="77777777" w:rsidTr="00780B3D">
        <w:trPr>
          <w:trHeight w:val="274"/>
        </w:trPr>
        <w:tc>
          <w:tcPr>
            <w:tcW w:w="202" w:type="dxa"/>
            <w:tcBorders>
              <w:right w:val="nil"/>
            </w:tcBorders>
            <w:shd w:val="clear" w:color="auto" w:fill="auto"/>
            <w:noWrap/>
            <w:vAlign w:val="bottom"/>
            <w:hideMark/>
          </w:tcPr>
          <w:p w14:paraId="58A937E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6ED1E105" w14:textId="77777777" w:rsidR="008228E9" w:rsidRPr="00E63DCC" w:rsidRDefault="008228E9" w:rsidP="00235E1E">
            <w:pPr>
              <w:pStyle w:val="Tabletext0"/>
              <w:bidi/>
              <w:rPr>
                <w:b/>
                <w:rtl/>
              </w:rPr>
            </w:pPr>
            <w:r>
              <w:rPr>
                <w:rFonts w:hint="cs"/>
                <w:b/>
                <w:bCs/>
                <w:rtl/>
              </w:rPr>
              <w:t>مجموع لقاءات المبلغين الرئيسيين</w:t>
            </w:r>
          </w:p>
        </w:tc>
        <w:tc>
          <w:tcPr>
            <w:tcW w:w="1281" w:type="dxa"/>
            <w:shd w:val="clear" w:color="auto" w:fill="auto"/>
            <w:noWrap/>
            <w:vAlign w:val="bottom"/>
            <w:hideMark/>
          </w:tcPr>
          <w:p w14:paraId="04B269B1" w14:textId="102C55D5" w:rsidR="008228E9" w:rsidRPr="00E63DCC" w:rsidRDefault="008228E9" w:rsidP="00235E1E">
            <w:pPr>
              <w:pStyle w:val="Tabletext0"/>
              <w:bidi/>
              <w:jc w:val="center"/>
              <w:rPr>
                <w:b/>
                <w:bCs/>
                <w:rtl/>
              </w:rPr>
            </w:pPr>
            <w:r>
              <w:rPr>
                <w:rFonts w:hint="cs"/>
                <w:b/>
                <w:bCs/>
                <w:rtl/>
              </w:rPr>
              <w:t>8</w:t>
            </w:r>
            <w:r>
              <w:rPr>
                <w:rFonts w:hint="cs"/>
                <w:rtl/>
              </w:rPr>
              <w:t>–</w:t>
            </w:r>
            <w:r>
              <w:rPr>
                <w:rFonts w:hint="cs"/>
                <w:b/>
                <w:bCs/>
                <w:rtl/>
              </w:rPr>
              <w:t>11</w:t>
            </w:r>
          </w:p>
        </w:tc>
        <w:tc>
          <w:tcPr>
            <w:tcW w:w="1282" w:type="dxa"/>
            <w:shd w:val="clear" w:color="auto" w:fill="auto"/>
            <w:noWrap/>
            <w:vAlign w:val="bottom"/>
            <w:hideMark/>
          </w:tcPr>
          <w:p w14:paraId="4B8D5BEE" w14:textId="0FE57571" w:rsidR="008228E9" w:rsidRPr="00E63DCC" w:rsidRDefault="008228E9" w:rsidP="00235E1E">
            <w:pPr>
              <w:pStyle w:val="Tabletext0"/>
              <w:bidi/>
              <w:jc w:val="center"/>
              <w:rPr>
                <w:b/>
                <w:bCs/>
                <w:rtl/>
              </w:rPr>
            </w:pPr>
            <w:r>
              <w:rPr>
                <w:rFonts w:hint="cs"/>
                <w:b/>
                <w:bCs/>
                <w:rtl/>
              </w:rPr>
              <w:t>8</w:t>
            </w:r>
            <w:r>
              <w:rPr>
                <w:rFonts w:hint="cs"/>
                <w:rtl/>
              </w:rPr>
              <w:t>–</w:t>
            </w:r>
            <w:r>
              <w:rPr>
                <w:rFonts w:hint="cs"/>
                <w:b/>
                <w:bCs/>
                <w:rtl/>
              </w:rPr>
              <w:t>11</w:t>
            </w:r>
          </w:p>
        </w:tc>
        <w:tc>
          <w:tcPr>
            <w:tcW w:w="2693" w:type="dxa"/>
            <w:shd w:val="clear" w:color="auto" w:fill="auto"/>
            <w:noWrap/>
            <w:vAlign w:val="bottom"/>
            <w:hideMark/>
          </w:tcPr>
          <w:p w14:paraId="53EAE8CA" w14:textId="5B78C7FA" w:rsidR="008228E9" w:rsidRPr="00E63DCC" w:rsidRDefault="008228E9" w:rsidP="00235E1E">
            <w:pPr>
              <w:pStyle w:val="Tabletext0"/>
              <w:rPr>
                <w:b/>
                <w:bCs/>
                <w:lang w:eastAsia="de-CH"/>
              </w:rPr>
            </w:pPr>
          </w:p>
        </w:tc>
      </w:tr>
      <w:tr w:rsidR="008228E9" w:rsidRPr="00E63DCC" w14:paraId="4591595F"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4AF4B1A7" w14:textId="77777777" w:rsidR="008228E9" w:rsidRPr="00E63DCC" w:rsidRDefault="008228E9" w:rsidP="00235E1E">
            <w:pPr>
              <w:pStyle w:val="Tabletext0"/>
              <w:bidi/>
              <w:rPr>
                <w:b/>
                <w:rtl/>
              </w:rPr>
            </w:pPr>
            <w:r>
              <w:rPr>
                <w:rFonts w:hint="cs"/>
                <w:b/>
                <w:bCs/>
                <w:rtl/>
              </w:rPr>
              <w:t>مناقشة مجموعة التركيز</w:t>
            </w:r>
          </w:p>
        </w:tc>
        <w:tc>
          <w:tcPr>
            <w:tcW w:w="1281" w:type="dxa"/>
            <w:shd w:val="clear" w:color="auto" w:fill="auto"/>
            <w:noWrap/>
            <w:vAlign w:val="bottom"/>
            <w:hideMark/>
          </w:tcPr>
          <w:p w14:paraId="28502B69"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269E2985" w14:textId="77777777" w:rsidR="008228E9" w:rsidRPr="00E63DCC" w:rsidRDefault="008228E9" w:rsidP="00235E1E">
            <w:pPr>
              <w:pStyle w:val="Tabletext0"/>
              <w:jc w:val="center"/>
              <w:rPr>
                <w:lang w:eastAsia="de-CH"/>
              </w:rPr>
            </w:pPr>
          </w:p>
        </w:tc>
        <w:tc>
          <w:tcPr>
            <w:tcW w:w="2693" w:type="dxa"/>
            <w:shd w:val="clear" w:color="auto" w:fill="auto"/>
            <w:noWrap/>
            <w:vAlign w:val="bottom"/>
            <w:hideMark/>
          </w:tcPr>
          <w:p w14:paraId="06E6211F" w14:textId="77777777" w:rsidR="008228E9" w:rsidRPr="00E63DCC" w:rsidRDefault="008228E9" w:rsidP="00235E1E">
            <w:pPr>
              <w:pStyle w:val="Tabletext0"/>
              <w:rPr>
                <w:lang w:eastAsia="de-CH"/>
              </w:rPr>
            </w:pPr>
          </w:p>
        </w:tc>
      </w:tr>
      <w:tr w:rsidR="00780B3D" w:rsidRPr="00E63DCC" w14:paraId="6C6205F9" w14:textId="77777777" w:rsidTr="00780B3D">
        <w:trPr>
          <w:trHeight w:val="274"/>
        </w:trPr>
        <w:tc>
          <w:tcPr>
            <w:tcW w:w="202" w:type="dxa"/>
            <w:tcBorders>
              <w:right w:val="nil"/>
            </w:tcBorders>
            <w:shd w:val="clear" w:color="auto" w:fill="auto"/>
            <w:noWrap/>
            <w:vAlign w:val="bottom"/>
            <w:hideMark/>
          </w:tcPr>
          <w:p w14:paraId="741E6F0F"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E977701" w14:textId="77777777" w:rsidR="008228E9" w:rsidRPr="00E63DCC" w:rsidRDefault="008228E9" w:rsidP="00235E1E">
            <w:pPr>
              <w:pStyle w:val="Tabletext0"/>
              <w:bidi/>
              <w:rPr>
                <w:rtl/>
              </w:rPr>
            </w:pPr>
            <w:r>
              <w:rPr>
                <w:rFonts w:hint="cs"/>
                <w:rtl/>
              </w:rPr>
              <w:t>عمال التعدين</w:t>
            </w:r>
          </w:p>
        </w:tc>
        <w:tc>
          <w:tcPr>
            <w:tcW w:w="1281" w:type="dxa"/>
            <w:shd w:val="clear" w:color="auto" w:fill="auto"/>
            <w:noWrap/>
            <w:vAlign w:val="bottom"/>
            <w:hideMark/>
          </w:tcPr>
          <w:p w14:paraId="23BD3237" w14:textId="70D73834" w:rsidR="008228E9" w:rsidRPr="00E63DCC" w:rsidRDefault="008228E9" w:rsidP="00235E1E">
            <w:pPr>
              <w:pStyle w:val="Tabletext0"/>
              <w:bidi/>
              <w:jc w:val="center"/>
              <w:rPr>
                <w:rtl/>
              </w:rPr>
            </w:pPr>
            <w:r>
              <w:rPr>
                <w:rFonts w:hint="cs"/>
                <w:rtl/>
              </w:rPr>
              <w:t>2-3</w:t>
            </w:r>
          </w:p>
        </w:tc>
        <w:tc>
          <w:tcPr>
            <w:tcW w:w="1282" w:type="dxa"/>
            <w:shd w:val="clear" w:color="auto" w:fill="auto"/>
            <w:noWrap/>
            <w:vAlign w:val="bottom"/>
            <w:hideMark/>
          </w:tcPr>
          <w:p w14:paraId="2C3C1B15" w14:textId="0B942006" w:rsidR="008228E9" w:rsidRPr="00E63DCC" w:rsidRDefault="008228E9" w:rsidP="00235E1E">
            <w:pPr>
              <w:pStyle w:val="Tabletext0"/>
              <w:bidi/>
              <w:jc w:val="center"/>
              <w:rPr>
                <w:rtl/>
              </w:rPr>
            </w:pPr>
            <w:r>
              <w:rPr>
                <w:rFonts w:hint="cs"/>
                <w:rtl/>
              </w:rPr>
              <w:t>2-3</w:t>
            </w:r>
          </w:p>
        </w:tc>
        <w:tc>
          <w:tcPr>
            <w:tcW w:w="2693" w:type="dxa"/>
            <w:shd w:val="clear" w:color="auto" w:fill="auto"/>
            <w:noWrap/>
            <w:vAlign w:val="bottom"/>
          </w:tcPr>
          <w:p w14:paraId="69B1FDC9" w14:textId="439C9F8E" w:rsidR="008228E9" w:rsidRPr="00E63DCC" w:rsidRDefault="008228E9" w:rsidP="00235E1E">
            <w:pPr>
              <w:pStyle w:val="Tabletext0"/>
              <w:rPr>
                <w:lang w:eastAsia="de-CH"/>
              </w:rPr>
            </w:pPr>
          </w:p>
        </w:tc>
      </w:tr>
      <w:tr w:rsidR="00780B3D" w:rsidRPr="00E63DCC" w14:paraId="677D36E6" w14:textId="77777777" w:rsidTr="00780B3D">
        <w:trPr>
          <w:trHeight w:val="274"/>
        </w:trPr>
        <w:tc>
          <w:tcPr>
            <w:tcW w:w="202" w:type="dxa"/>
            <w:tcBorders>
              <w:right w:val="nil"/>
            </w:tcBorders>
            <w:shd w:val="clear" w:color="auto" w:fill="auto"/>
            <w:noWrap/>
            <w:vAlign w:val="bottom"/>
            <w:hideMark/>
          </w:tcPr>
          <w:p w14:paraId="078C084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2225ADE9" w14:textId="77777777" w:rsidR="008228E9" w:rsidRPr="00E63DCC" w:rsidRDefault="008228E9" w:rsidP="00235E1E">
            <w:pPr>
              <w:pStyle w:val="Tabletext0"/>
              <w:bidi/>
              <w:rPr>
                <w:rtl/>
              </w:rPr>
            </w:pPr>
            <w:r>
              <w:rPr>
                <w:rFonts w:hint="cs"/>
                <w:rtl/>
              </w:rPr>
              <w:t>أفراد أسر عمال التعدين</w:t>
            </w:r>
          </w:p>
        </w:tc>
        <w:tc>
          <w:tcPr>
            <w:tcW w:w="1281" w:type="dxa"/>
            <w:shd w:val="clear" w:color="auto" w:fill="auto"/>
            <w:noWrap/>
            <w:vAlign w:val="bottom"/>
            <w:hideMark/>
          </w:tcPr>
          <w:p w14:paraId="1A8D86A2" w14:textId="4C9D46D8" w:rsidR="008228E9" w:rsidRPr="00E63DCC" w:rsidRDefault="008228E9" w:rsidP="00235E1E">
            <w:pPr>
              <w:pStyle w:val="Tabletext0"/>
              <w:bidi/>
              <w:jc w:val="center"/>
              <w:rPr>
                <w:rtl/>
              </w:rPr>
            </w:pPr>
            <w:r>
              <w:rPr>
                <w:rFonts w:hint="cs"/>
                <w:rtl/>
              </w:rPr>
              <w:t>2-3</w:t>
            </w:r>
          </w:p>
        </w:tc>
        <w:tc>
          <w:tcPr>
            <w:tcW w:w="1282" w:type="dxa"/>
            <w:shd w:val="clear" w:color="auto" w:fill="auto"/>
            <w:noWrap/>
            <w:vAlign w:val="bottom"/>
            <w:hideMark/>
          </w:tcPr>
          <w:p w14:paraId="4272B72A" w14:textId="48B39CF1" w:rsidR="008228E9" w:rsidRPr="00E63DCC" w:rsidRDefault="008228E9" w:rsidP="00235E1E">
            <w:pPr>
              <w:pStyle w:val="Tabletext0"/>
              <w:bidi/>
              <w:jc w:val="center"/>
              <w:rPr>
                <w:rtl/>
              </w:rPr>
            </w:pPr>
            <w:r>
              <w:rPr>
                <w:rFonts w:hint="cs"/>
                <w:rtl/>
              </w:rPr>
              <w:t>2-3</w:t>
            </w:r>
          </w:p>
        </w:tc>
        <w:tc>
          <w:tcPr>
            <w:tcW w:w="2693" w:type="dxa"/>
            <w:shd w:val="clear" w:color="auto" w:fill="auto"/>
            <w:noWrap/>
            <w:vAlign w:val="bottom"/>
          </w:tcPr>
          <w:p w14:paraId="514F3A52" w14:textId="6AA1ED57" w:rsidR="008228E9" w:rsidRPr="00E63DCC" w:rsidRDefault="008228E9" w:rsidP="00235E1E">
            <w:pPr>
              <w:pStyle w:val="Tabletext0"/>
              <w:rPr>
                <w:lang w:eastAsia="de-CH"/>
              </w:rPr>
            </w:pPr>
          </w:p>
        </w:tc>
      </w:tr>
      <w:tr w:rsidR="00780B3D" w:rsidRPr="00E63DCC" w14:paraId="04894242" w14:textId="77777777" w:rsidTr="00780B3D">
        <w:trPr>
          <w:trHeight w:val="274"/>
        </w:trPr>
        <w:tc>
          <w:tcPr>
            <w:tcW w:w="202" w:type="dxa"/>
            <w:tcBorders>
              <w:right w:val="nil"/>
            </w:tcBorders>
            <w:shd w:val="clear" w:color="auto" w:fill="auto"/>
            <w:noWrap/>
            <w:vAlign w:val="bottom"/>
            <w:hideMark/>
          </w:tcPr>
          <w:p w14:paraId="49B010F6"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02878D6E" w14:textId="77777777" w:rsidR="008228E9" w:rsidRPr="00E63DCC" w:rsidRDefault="008228E9" w:rsidP="00235E1E">
            <w:pPr>
              <w:pStyle w:val="Tabletext0"/>
              <w:bidi/>
              <w:rPr>
                <w:rtl/>
              </w:rPr>
            </w:pPr>
            <w:r>
              <w:rPr>
                <w:rFonts w:hint="cs"/>
                <w:rtl/>
              </w:rPr>
              <w:t>أفراد مجتمع تعدين الذهب الحرفي والضيق النطاق</w:t>
            </w:r>
          </w:p>
        </w:tc>
        <w:tc>
          <w:tcPr>
            <w:tcW w:w="1281" w:type="dxa"/>
            <w:shd w:val="clear" w:color="auto" w:fill="auto"/>
            <w:noWrap/>
            <w:vAlign w:val="bottom"/>
            <w:hideMark/>
          </w:tcPr>
          <w:p w14:paraId="25496332" w14:textId="2D98A68A" w:rsidR="008228E9" w:rsidRPr="00E63DCC" w:rsidRDefault="008228E9" w:rsidP="00235E1E">
            <w:pPr>
              <w:pStyle w:val="Tabletext0"/>
              <w:bidi/>
              <w:jc w:val="center"/>
              <w:rPr>
                <w:rtl/>
              </w:rPr>
            </w:pPr>
            <w:r>
              <w:rPr>
                <w:rFonts w:hint="cs"/>
                <w:rtl/>
              </w:rPr>
              <w:t>2-3</w:t>
            </w:r>
          </w:p>
        </w:tc>
        <w:tc>
          <w:tcPr>
            <w:tcW w:w="1282" w:type="dxa"/>
            <w:shd w:val="clear" w:color="auto" w:fill="auto"/>
            <w:noWrap/>
            <w:vAlign w:val="bottom"/>
            <w:hideMark/>
          </w:tcPr>
          <w:p w14:paraId="0B6F2B6B" w14:textId="5439BF91" w:rsidR="008228E9" w:rsidRPr="00E63DCC" w:rsidRDefault="008228E9" w:rsidP="00235E1E">
            <w:pPr>
              <w:pStyle w:val="Tabletext0"/>
              <w:bidi/>
              <w:jc w:val="center"/>
              <w:rPr>
                <w:rtl/>
              </w:rPr>
            </w:pPr>
            <w:r>
              <w:rPr>
                <w:rFonts w:hint="cs"/>
                <w:rtl/>
              </w:rPr>
              <w:t>2-3</w:t>
            </w:r>
          </w:p>
        </w:tc>
        <w:tc>
          <w:tcPr>
            <w:tcW w:w="2693" w:type="dxa"/>
            <w:shd w:val="clear" w:color="auto" w:fill="auto"/>
            <w:noWrap/>
            <w:vAlign w:val="bottom"/>
          </w:tcPr>
          <w:p w14:paraId="423EF6A7" w14:textId="611B0BE1" w:rsidR="008228E9" w:rsidRPr="00E63DCC" w:rsidRDefault="008228E9" w:rsidP="00235E1E">
            <w:pPr>
              <w:pStyle w:val="Tabletext0"/>
              <w:rPr>
                <w:lang w:eastAsia="de-CH"/>
              </w:rPr>
            </w:pPr>
          </w:p>
        </w:tc>
      </w:tr>
      <w:tr w:rsidR="00780B3D" w:rsidRPr="00E63DCC" w14:paraId="2BF086FA" w14:textId="77777777" w:rsidTr="00780B3D">
        <w:trPr>
          <w:trHeight w:val="274"/>
        </w:trPr>
        <w:tc>
          <w:tcPr>
            <w:tcW w:w="202" w:type="dxa"/>
            <w:tcBorders>
              <w:right w:val="nil"/>
            </w:tcBorders>
            <w:shd w:val="clear" w:color="auto" w:fill="auto"/>
            <w:noWrap/>
            <w:vAlign w:val="bottom"/>
            <w:hideMark/>
          </w:tcPr>
          <w:p w14:paraId="20BF8C6F"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6F7B497A" w14:textId="77777777" w:rsidR="008228E9" w:rsidRPr="00E63DCC" w:rsidRDefault="008228E9" w:rsidP="00235E1E">
            <w:pPr>
              <w:pStyle w:val="Tabletext0"/>
              <w:bidi/>
              <w:rPr>
                <w:b/>
                <w:rtl/>
              </w:rPr>
            </w:pPr>
            <w:r>
              <w:rPr>
                <w:rFonts w:hint="cs"/>
                <w:b/>
                <w:bCs/>
                <w:rtl/>
              </w:rPr>
              <w:t>إجمالي مناقشات مجموعات التركيز</w:t>
            </w:r>
          </w:p>
        </w:tc>
        <w:tc>
          <w:tcPr>
            <w:tcW w:w="1281" w:type="dxa"/>
            <w:shd w:val="clear" w:color="auto" w:fill="auto"/>
            <w:noWrap/>
            <w:vAlign w:val="bottom"/>
            <w:hideMark/>
          </w:tcPr>
          <w:p w14:paraId="67BEAE47" w14:textId="467709CC" w:rsidR="008228E9" w:rsidRPr="00E63DCC" w:rsidRDefault="008228E9" w:rsidP="00235E1E">
            <w:pPr>
              <w:pStyle w:val="Tabletext0"/>
              <w:bidi/>
              <w:jc w:val="center"/>
              <w:rPr>
                <w:b/>
                <w:bCs/>
                <w:rtl/>
              </w:rPr>
            </w:pPr>
            <w:r>
              <w:rPr>
                <w:rFonts w:hint="cs"/>
                <w:b/>
                <w:bCs/>
                <w:rtl/>
              </w:rPr>
              <w:t>6</w:t>
            </w:r>
            <w:r>
              <w:rPr>
                <w:rFonts w:hint="cs"/>
                <w:rtl/>
              </w:rPr>
              <w:t>–</w:t>
            </w:r>
            <w:r>
              <w:rPr>
                <w:rFonts w:hint="cs"/>
                <w:b/>
                <w:bCs/>
                <w:rtl/>
              </w:rPr>
              <w:t>9</w:t>
            </w:r>
          </w:p>
        </w:tc>
        <w:tc>
          <w:tcPr>
            <w:tcW w:w="1282" w:type="dxa"/>
            <w:shd w:val="clear" w:color="auto" w:fill="auto"/>
            <w:noWrap/>
            <w:vAlign w:val="bottom"/>
            <w:hideMark/>
          </w:tcPr>
          <w:p w14:paraId="1930B56F" w14:textId="5FBFB511" w:rsidR="008228E9" w:rsidRPr="00E63DCC" w:rsidRDefault="008228E9" w:rsidP="00235E1E">
            <w:pPr>
              <w:pStyle w:val="Tabletext0"/>
              <w:bidi/>
              <w:jc w:val="center"/>
              <w:rPr>
                <w:b/>
                <w:bCs/>
                <w:rtl/>
              </w:rPr>
            </w:pPr>
            <w:r>
              <w:rPr>
                <w:rFonts w:hint="cs"/>
                <w:b/>
                <w:bCs/>
                <w:rtl/>
              </w:rPr>
              <w:t>6-9</w:t>
            </w:r>
          </w:p>
        </w:tc>
        <w:tc>
          <w:tcPr>
            <w:tcW w:w="2693" w:type="dxa"/>
            <w:shd w:val="clear" w:color="auto" w:fill="auto"/>
            <w:noWrap/>
            <w:vAlign w:val="bottom"/>
          </w:tcPr>
          <w:p w14:paraId="6555E9A0" w14:textId="65A39871" w:rsidR="008228E9" w:rsidRPr="00E63DCC" w:rsidRDefault="008228E9" w:rsidP="00235E1E">
            <w:pPr>
              <w:pStyle w:val="Tabletext0"/>
              <w:rPr>
                <w:b/>
                <w:bCs/>
                <w:lang w:eastAsia="de-CH"/>
              </w:rPr>
            </w:pPr>
          </w:p>
        </w:tc>
      </w:tr>
      <w:tr w:rsidR="008228E9" w:rsidRPr="00E63DCC" w14:paraId="3D7416FB"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4576F538" w14:textId="77777777" w:rsidR="008228E9" w:rsidRPr="00E63DCC" w:rsidRDefault="008228E9" w:rsidP="00235E1E">
            <w:pPr>
              <w:pStyle w:val="Tabletext0"/>
              <w:bidi/>
              <w:rPr>
                <w:b/>
                <w:rtl/>
              </w:rPr>
            </w:pPr>
            <w:r>
              <w:rPr>
                <w:rFonts w:hint="cs"/>
                <w:b/>
                <w:bCs/>
                <w:rtl/>
              </w:rPr>
              <w:t>تقييم المنشأة الصحية</w:t>
            </w:r>
          </w:p>
        </w:tc>
        <w:tc>
          <w:tcPr>
            <w:tcW w:w="1281" w:type="dxa"/>
            <w:shd w:val="clear" w:color="auto" w:fill="auto"/>
            <w:noWrap/>
            <w:vAlign w:val="bottom"/>
            <w:hideMark/>
          </w:tcPr>
          <w:p w14:paraId="7FAA3B5C"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40B42658" w14:textId="77777777" w:rsidR="008228E9" w:rsidRPr="00E63DCC" w:rsidRDefault="008228E9" w:rsidP="00235E1E">
            <w:pPr>
              <w:pStyle w:val="Tabletext0"/>
              <w:jc w:val="center"/>
              <w:rPr>
                <w:lang w:eastAsia="de-CH"/>
              </w:rPr>
            </w:pPr>
          </w:p>
        </w:tc>
        <w:tc>
          <w:tcPr>
            <w:tcW w:w="2693" w:type="dxa"/>
            <w:shd w:val="clear" w:color="auto" w:fill="auto"/>
            <w:noWrap/>
            <w:vAlign w:val="bottom"/>
          </w:tcPr>
          <w:p w14:paraId="3FB5D333" w14:textId="77777777" w:rsidR="008228E9" w:rsidRPr="00E63DCC" w:rsidRDefault="008228E9" w:rsidP="00235E1E">
            <w:pPr>
              <w:pStyle w:val="Tabletext0"/>
              <w:rPr>
                <w:lang w:eastAsia="de-CH"/>
              </w:rPr>
            </w:pPr>
          </w:p>
        </w:tc>
      </w:tr>
      <w:tr w:rsidR="00780B3D" w:rsidRPr="00E63DCC" w14:paraId="3EEE5D92" w14:textId="77777777" w:rsidTr="00780B3D">
        <w:trPr>
          <w:trHeight w:val="274"/>
        </w:trPr>
        <w:tc>
          <w:tcPr>
            <w:tcW w:w="202" w:type="dxa"/>
            <w:tcBorders>
              <w:right w:val="nil"/>
            </w:tcBorders>
            <w:shd w:val="clear" w:color="auto" w:fill="auto"/>
            <w:noWrap/>
            <w:vAlign w:val="bottom"/>
          </w:tcPr>
          <w:p w14:paraId="29A271A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57EEDEAC" w14:textId="77777777" w:rsidR="008228E9" w:rsidRPr="00E63DCC" w:rsidRDefault="008228E9" w:rsidP="00235E1E">
            <w:pPr>
              <w:pStyle w:val="Tabletext0"/>
              <w:bidi/>
              <w:rPr>
                <w:rtl/>
              </w:rPr>
            </w:pPr>
            <w:r>
              <w:rPr>
                <w:rFonts w:hint="cs"/>
                <w:rtl/>
              </w:rPr>
              <w:t>تقييمات المنشآت الصحية</w:t>
            </w:r>
          </w:p>
        </w:tc>
        <w:tc>
          <w:tcPr>
            <w:tcW w:w="1281" w:type="dxa"/>
            <w:shd w:val="clear" w:color="auto" w:fill="auto"/>
            <w:noWrap/>
            <w:vAlign w:val="bottom"/>
          </w:tcPr>
          <w:p w14:paraId="01E13F82" w14:textId="589244D6" w:rsidR="008228E9" w:rsidRPr="00E63DCC" w:rsidRDefault="008228E9" w:rsidP="00235E1E">
            <w:pPr>
              <w:pStyle w:val="Tabletext0"/>
              <w:bidi/>
              <w:jc w:val="center"/>
              <w:rPr>
                <w:b/>
                <w:bCs/>
                <w:rtl/>
              </w:rPr>
            </w:pPr>
            <w:r>
              <w:rPr>
                <w:rFonts w:hint="cs"/>
                <w:b/>
                <w:bCs/>
                <w:rtl/>
              </w:rPr>
              <w:t>2</w:t>
            </w:r>
            <w:r>
              <w:rPr>
                <w:rFonts w:hint="cs"/>
                <w:rtl/>
              </w:rPr>
              <w:t>–</w:t>
            </w:r>
            <w:r>
              <w:rPr>
                <w:rFonts w:hint="cs"/>
                <w:b/>
                <w:bCs/>
                <w:rtl/>
              </w:rPr>
              <w:t>3</w:t>
            </w:r>
          </w:p>
        </w:tc>
        <w:tc>
          <w:tcPr>
            <w:tcW w:w="1282" w:type="dxa"/>
            <w:shd w:val="clear" w:color="auto" w:fill="auto"/>
            <w:noWrap/>
            <w:vAlign w:val="bottom"/>
          </w:tcPr>
          <w:p w14:paraId="394E1B98" w14:textId="7E67A2A6" w:rsidR="008228E9" w:rsidRPr="00E63DCC" w:rsidRDefault="008228E9" w:rsidP="00235E1E">
            <w:pPr>
              <w:pStyle w:val="Tabletext0"/>
              <w:bidi/>
              <w:jc w:val="center"/>
              <w:rPr>
                <w:b/>
                <w:bCs/>
                <w:rtl/>
              </w:rPr>
            </w:pPr>
            <w:r>
              <w:rPr>
                <w:rFonts w:hint="cs"/>
                <w:b/>
                <w:bCs/>
                <w:rtl/>
              </w:rPr>
              <w:t>2</w:t>
            </w:r>
            <w:r>
              <w:rPr>
                <w:rFonts w:hint="cs"/>
                <w:rtl/>
              </w:rPr>
              <w:t>–</w:t>
            </w:r>
            <w:r>
              <w:rPr>
                <w:rFonts w:hint="cs"/>
                <w:b/>
                <w:bCs/>
                <w:rtl/>
              </w:rPr>
              <w:t>3</w:t>
            </w:r>
          </w:p>
        </w:tc>
        <w:tc>
          <w:tcPr>
            <w:tcW w:w="2693" w:type="dxa"/>
            <w:shd w:val="clear" w:color="auto" w:fill="auto"/>
            <w:noWrap/>
            <w:vAlign w:val="bottom"/>
          </w:tcPr>
          <w:p w14:paraId="4539368B" w14:textId="501C21DC" w:rsidR="008228E9" w:rsidRPr="00E63DCC" w:rsidRDefault="008228E9" w:rsidP="00235E1E">
            <w:pPr>
              <w:pStyle w:val="Tabletext0"/>
              <w:rPr>
                <w:b/>
                <w:bCs/>
                <w:lang w:eastAsia="de-CH"/>
              </w:rPr>
            </w:pPr>
          </w:p>
        </w:tc>
      </w:tr>
    </w:tbl>
    <w:p w14:paraId="1BD8B9C8" w14:textId="2472D4AE" w:rsidR="004F62DA" w:rsidRPr="00E63DCC" w:rsidRDefault="00C1393F" w:rsidP="00A5640C">
      <w:pPr>
        <w:pStyle w:val="Heading2"/>
        <w:bidi/>
        <w:rPr>
          <w:rtl/>
        </w:rPr>
      </w:pPr>
      <w:bookmarkStart w:id="41" w:name="_Ref482775962"/>
      <w:bookmarkStart w:id="42" w:name="_Toc67301053"/>
      <w:bookmarkStart w:id="43" w:name="_Toc71095497"/>
      <w:r>
        <w:rPr>
          <w:rFonts w:hint="cs"/>
          <w:rtl/>
        </w:rPr>
        <w:t>3.4 أنشطة تعبئة المجتمع وتوعيته</w:t>
      </w:r>
      <w:bookmarkEnd w:id="41"/>
      <w:bookmarkEnd w:id="42"/>
      <w:bookmarkEnd w:id="43"/>
    </w:p>
    <w:p w14:paraId="2BDB41B6" w14:textId="2ACB80A5" w:rsidR="00225B6F" w:rsidRPr="00E63DCC" w:rsidRDefault="00225B6F" w:rsidP="00A5640C">
      <w:pPr>
        <w:bidi/>
        <w:rPr>
          <w:rtl/>
        </w:rPr>
      </w:pPr>
      <w:r>
        <w:rPr>
          <w:rFonts w:hint="cs"/>
          <w:rtl/>
        </w:rPr>
        <w:t>في مواقع تعدين الذهب الحرفي والضيق النطاق المختارة، يلزم القيام بأنشطة توعية مجتمعية قبل إجراء أنشطة الدراسة.</w:t>
      </w:r>
      <w:r>
        <w:t xml:space="preserve"> </w:t>
      </w:r>
      <w:r>
        <w:rPr>
          <w:rFonts w:hint="cs"/>
          <w:rtl/>
        </w:rPr>
        <w:t>سيتم وضع خطط التعبئة الاجتماعية الخاصة بكل بلد قبل إجراء الدراسة بناءً على خطة التعبئة الاجتماعية المعممة لجميع بلدان المشروع (انظر الملحق 8 للدليل تفصيلي)، بدعم من وزارات الصحة.</w:t>
      </w:r>
      <w:r>
        <w:t xml:space="preserve"> </w:t>
      </w:r>
      <w:r>
        <w:rPr>
          <w:rFonts w:hint="cs"/>
          <w:rtl/>
        </w:rPr>
        <w:t xml:space="preserve">تصف خطة التعبئة الاجتماعية عملية (أ) إعلام المجتمع بالمشروع التجريبي وإشراك زعماء المجتمع وغيرهم؛ و(ب) التوضيح لفئة السكان في الدراسة ضرورة إجراء استبيان الآراء وكيفية إجراء العملية (مدة البحث وإطاره الزمني وعملية اختيار المشاركين وأدوات استبيان الآراء)؛ و(ج) خلق مساحة لتبادل الآراء المستمر للتفاعل مع </w:t>
      </w:r>
      <w:r>
        <w:rPr>
          <w:rFonts w:hint="cs"/>
          <w:rtl/>
        </w:rPr>
        <w:lastRenderedPageBreak/>
        <w:t>مجموعات المجتمع المختلفة؛ و(د) أدوار ومسؤوليات مختلف أصحاب المصلحة المحليين (مثل المنظمات المجتمعية ومنظمات المجتمع المدني) كنقطة انطلاق لنهج تشاركي للتعامل مع المجتمع؛ و(هـ) كيف سيتم جمع البيانات واستخدامها، مع الحفاظ على السرية التامة؛ و(و) استراتيجيات لنشر نتائج المشروع التجريبي.</w:t>
      </w:r>
      <w:r>
        <w:t xml:space="preserve"> </w:t>
      </w:r>
    </w:p>
    <w:p w14:paraId="15BC5C44" w14:textId="514650CC" w:rsidR="00225B6F" w:rsidRPr="00E63DCC" w:rsidRDefault="00225B6F" w:rsidP="00A5640C">
      <w:pPr>
        <w:bidi/>
        <w:rPr>
          <w:rtl/>
        </w:rPr>
      </w:pPr>
      <w:r>
        <w:rPr>
          <w:rFonts w:hint="cs"/>
          <w:rtl/>
        </w:rPr>
        <w:t>من أجل تنفيذ أنشطة تعبئة المجتمع وتوعيته، سيعمل فريق المشروع بشكل وثيق مع منظمات المجتمع المدني كنقطة انطلاق لنهج تشاركي، وذلك على النحو التالي.</w:t>
      </w:r>
    </w:p>
    <w:p w14:paraId="1EDB9190" w14:textId="330A0B82" w:rsidR="00225B6F" w:rsidRPr="00E63DCC" w:rsidRDefault="00EF71AD" w:rsidP="00A5640C">
      <w:pPr>
        <w:bidi/>
        <w:rPr>
          <w:rtl/>
        </w:rPr>
      </w:pPr>
      <w:r>
        <w:rPr>
          <w:rFonts w:hint="cs"/>
          <w:rtl/>
        </w:rPr>
        <w:t>في الخطوة الأولى، سيقوم فريق المشروع باستكشاف وتحديد ما إذا كانت هناك منظمات غير حكومية أو جمعيات أو منظمات مجتمع مدني تمثل بديهيًا فئة السكان في الدراسة في مواقع الدراسة المقترحة في [اسم البلد] وسيحددها على المستويات الوطنية والإقليمية ودون الإقليمية.</w:t>
      </w:r>
      <w:r>
        <w:t xml:space="preserve"> </w:t>
      </w:r>
      <w:r>
        <w:rPr>
          <w:rFonts w:hint="cs"/>
          <w:rtl/>
        </w:rPr>
        <w:t>تشمل المنظمات [يُرجى ذكر منظمات مجتمع مدني / منظمات غير حكومية محددة هنا].</w:t>
      </w:r>
      <w:r>
        <w:t xml:space="preserve"> </w:t>
      </w:r>
    </w:p>
    <w:p w14:paraId="44AA98BD" w14:textId="26E9A364" w:rsidR="00EF71AD" w:rsidRPr="00E63DCC" w:rsidRDefault="00EF71AD" w:rsidP="00A5640C">
      <w:pPr>
        <w:bidi/>
        <w:spacing w:after="200"/>
        <w:contextualSpacing/>
        <w:rPr>
          <w:rtl/>
        </w:rPr>
      </w:pPr>
      <w:r>
        <w:rPr>
          <w:rFonts w:hint="cs"/>
          <w:rtl/>
        </w:rPr>
        <w:t>[صف هنا كل منظمة غير حكومية مشاركة في خطة التعبئة الاجتماعية، بما في ذلك مجال تركيزها وأهدافها وخبراتها وتجاربها.]</w:t>
      </w:r>
    </w:p>
    <w:p w14:paraId="592C8D3C" w14:textId="67C3B09E" w:rsidR="00EF71AD" w:rsidRPr="00482197" w:rsidRDefault="00EF71AD" w:rsidP="009E4347">
      <w:pPr>
        <w:pStyle w:val="Normalboldhead"/>
        <w:bidi/>
        <w:rPr>
          <w:b w:val="0"/>
          <w:bCs/>
          <w:rtl/>
        </w:rPr>
      </w:pPr>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p>
    <w:p w14:paraId="4880018E" w14:textId="79641390" w:rsidR="00EF71AD" w:rsidRPr="00E63DCC" w:rsidRDefault="00EF71AD" w:rsidP="009E4347">
      <w:pPr>
        <w:bidi/>
        <w:rPr>
          <w:rtl/>
        </w:rPr>
      </w:pPr>
      <w:r>
        <w:rPr>
          <w:rFonts w:hint="cs"/>
          <w:rtl/>
        </w:rPr>
        <w:t xml:space="preserve">مركز الاستجابة الاجتماعية </w:t>
      </w:r>
      <w:r>
        <w:t>Geo-Mob</w:t>
      </w:r>
      <w:r>
        <w:rPr>
          <w:rFonts w:hint="cs"/>
          <w:rtl/>
        </w:rPr>
        <w:t xml:space="preserve"> هو منظمة غير حكومية تعمل في مجال المياه والصرف الصحي وتعزيز الصحة، لا سيما في ما يتعلق بالمجتمعات التي بها صناعات استخراجية.</w:t>
      </w:r>
      <w:r>
        <w:t xml:space="preserve"> </w:t>
      </w:r>
      <w:r>
        <w:rPr>
          <w:rFonts w:hint="cs"/>
          <w:rtl/>
        </w:rPr>
        <w:t xml:space="preserve">سيقود الفريق المشترك للتعبئة الاجتماعية كبار موظفي </w:t>
      </w:r>
      <w:r>
        <w:t>Geo-Mob</w:t>
      </w:r>
      <w:r>
        <w:rPr>
          <w:rFonts w:hint="cs"/>
          <w:rtl/>
        </w:rPr>
        <w:t>.</w:t>
      </w:r>
      <w:r>
        <w:t xml:space="preserve"> </w:t>
      </w:r>
      <w:r>
        <w:rPr>
          <w:rFonts w:hint="cs"/>
          <w:rtl/>
        </w:rPr>
        <w:t xml:space="preserve">يضم مركز </w:t>
      </w:r>
      <w:r>
        <w:t>Geo-Mob</w:t>
      </w:r>
      <w:r>
        <w:rPr>
          <w:rFonts w:hint="cs"/>
          <w:rtl/>
        </w:rPr>
        <w:t xml:space="preserve"> أخصائيين صحيين خبراء يعملون في التعبئة الاجتماعية على مستوى القاعدة الشعبية.</w:t>
      </w:r>
      <w:r>
        <w:t xml:space="preserve"> </w:t>
      </w:r>
      <w:r>
        <w:rPr>
          <w:rFonts w:hint="cs"/>
          <w:rtl/>
        </w:rPr>
        <w:t>عملت المنظمة على نطاق واسع مع المجتمعات المحلية في إجراء مراقبة ورصد الصحة العامة في جميع أنحاء نيجيريا.</w:t>
      </w:r>
      <w:r>
        <w:t xml:space="preserve"> </w:t>
      </w:r>
      <w:r>
        <w:rPr>
          <w:rFonts w:hint="cs"/>
          <w:rtl/>
        </w:rPr>
        <w:t>لديهم أيضًا ناشط في التعبئة ذو توجه شعبي يتحدث اللغة المحلية لسكان تعدين الذهب الحرفي والضيق النطاق في ولاية النيجر.</w:t>
      </w:r>
      <w:r>
        <w:t xml:space="preserve"> </w:t>
      </w:r>
      <w:r>
        <w:rPr>
          <w:rFonts w:hint="cs"/>
          <w:rtl/>
        </w:rPr>
        <w:t xml:space="preserve">سيعمل مركز </w:t>
      </w:r>
      <w:r>
        <w:t>Geo-Mob</w:t>
      </w:r>
      <w:r>
        <w:rPr>
          <w:rFonts w:hint="cs"/>
          <w:rtl/>
        </w:rPr>
        <w:t xml:space="preserve"> بشكل وثيق مع المجتمعات والمجموعات المحلية ومجلس الحكام التقليديين وائتلافات المجتمع المدني الأخرى في ولاية النيجر وإقليم العاصمة الفيدرالية أبوجا لضمان المشاركة الفعالة من أصحاب المصلحة والتعبئة الاجتماعية تجاه استبيان الآراء.</w:t>
      </w:r>
      <w:r>
        <w:t xml:space="preserve"> </w:t>
      </w:r>
    </w:p>
    <w:p w14:paraId="71C891C1" w14:textId="2C768700" w:rsidR="00EF71AD" w:rsidRPr="00E63DCC" w:rsidRDefault="00EF71AD" w:rsidP="009E4347">
      <w:pPr>
        <w:bidi/>
        <w:rPr>
          <w:rtl/>
        </w:rPr>
      </w:pPr>
      <w:r>
        <w:rPr>
          <w:rFonts w:hint="cs"/>
          <w:rtl/>
        </w:rPr>
        <w:t xml:space="preserve">على المنوال نفسه، سيتم تعزيز المشاركة والتعبئة الاجتماعية للمنظمات غير الحكومية والجمعيات المهنية والهيئات الدينية في ولاية </w:t>
      </w:r>
      <w:proofErr w:type="spellStart"/>
      <w:r>
        <w:rPr>
          <w:rFonts w:hint="cs"/>
          <w:rtl/>
        </w:rPr>
        <w:t>أوسون</w:t>
      </w:r>
      <w:proofErr w:type="spellEnd"/>
      <w:r>
        <w:rPr>
          <w:rFonts w:hint="cs"/>
          <w:rtl/>
        </w:rPr>
        <w:t xml:space="preserve"> من خلال مشاركة المنظمات غير الحكومية للسكان الأصليين، ومبادرة النهوض بالإنسانية، وهي منظمة مجتمع مدني مكرسة لخدمات التدخل الصحي شبه القانونية والعامة.</w:t>
      </w:r>
      <w:r>
        <w:t xml:space="preserve"> </w:t>
      </w:r>
      <w:r>
        <w:rPr>
          <w:rFonts w:hint="cs"/>
          <w:rtl/>
        </w:rPr>
        <w:t>هدفها هو مساعدة الفئات السكانية المعرضة للخطر من خلال القانون كأداة للهندسة الاجتماعية، وبالتالي توفير تحسين بنسبة 50٪ في الوصول إلى خدمات الرعاية الصحية والتعليم وحقوق المرأة والشباب والفئات السكانية الأكثر عرضة للخطر.</w:t>
      </w:r>
      <w:r>
        <w:t xml:space="preserve"> </w:t>
      </w:r>
      <w:r>
        <w:rPr>
          <w:rFonts w:hint="cs"/>
          <w:rtl/>
        </w:rPr>
        <w:t>مبادرة النهوض بالإنسانية لديها طاقم عمل ضمن البرنامج متمرس في إدارة أصحاب المصلحة وتنفيذ برامج التدخل في مجال الصحة العامة.</w:t>
      </w:r>
      <w:r>
        <w:t xml:space="preserve"> </w:t>
      </w:r>
      <w:r>
        <w:rPr>
          <w:rFonts w:hint="cs"/>
          <w:rtl/>
        </w:rPr>
        <w:t xml:space="preserve">سيتم إشراك الموظفين، الذين هم من السكان الأصليين في ولاية </w:t>
      </w:r>
      <w:proofErr w:type="spellStart"/>
      <w:r>
        <w:rPr>
          <w:rFonts w:hint="cs"/>
          <w:rtl/>
        </w:rPr>
        <w:t>أوسون</w:t>
      </w:r>
      <w:proofErr w:type="spellEnd"/>
      <w:r>
        <w:rPr>
          <w:rFonts w:hint="cs"/>
          <w:rtl/>
        </w:rPr>
        <w:t>، في التعبئة الاجتماعية.</w:t>
      </w:r>
      <w:r>
        <w:t xml:space="preserve"> </w:t>
      </w:r>
    </w:p>
    <w:p w14:paraId="5C70A7F6" w14:textId="133EEA98" w:rsidR="00EF71AD" w:rsidRPr="00E63DCC" w:rsidRDefault="00FC0EE4" w:rsidP="009E4347">
      <w:pPr>
        <w:bidi/>
        <w:rPr>
          <w:rtl/>
        </w:rPr>
      </w:pPr>
      <w:r>
        <w:rPr>
          <w:rFonts w:hint="cs"/>
          <w:rtl/>
        </w:rPr>
        <w:t xml:space="preserve">أكاديمية </w:t>
      </w:r>
      <w:proofErr w:type="spellStart"/>
      <w:r>
        <w:t>Cerpmist</w:t>
      </w:r>
      <w:proofErr w:type="spellEnd"/>
      <w:r>
        <w:rPr>
          <w:rFonts w:hint="cs"/>
          <w:rtl/>
        </w:rPr>
        <w:t xml:space="preserve"> البيئية هي أكاديمية مبتكرة تعمل في أفريقيا على مستوى عالمي وتقدم وتعزز التعليم والبحث والتأييد الموجهين نحو الحلول في مجال البيئة والتنمية المستدامة بطريقة تمكن الأفراد والحكومات والمجتمعات.</w:t>
      </w:r>
      <w:r>
        <w:t xml:space="preserve"> </w:t>
      </w:r>
      <w:r>
        <w:rPr>
          <w:rFonts w:hint="cs"/>
          <w:rtl/>
        </w:rPr>
        <w:t xml:space="preserve">تتمتع أكاديمية </w:t>
      </w:r>
      <w:proofErr w:type="spellStart"/>
      <w:r>
        <w:t>Cerpmist</w:t>
      </w:r>
      <w:proofErr w:type="spellEnd"/>
      <w:r>
        <w:rPr>
          <w:rFonts w:hint="cs"/>
          <w:rtl/>
        </w:rPr>
        <w:t xml:space="preserve"> البيئية بخبرة في بناء شبكات مع المجتمعات الأكاديمية وتنسيق الخدمات اللوجستية داخل البلد.</w:t>
      </w:r>
      <w:r>
        <w:t xml:space="preserve"> </w:t>
      </w:r>
      <w:r>
        <w:rPr>
          <w:rFonts w:hint="cs"/>
          <w:rtl/>
        </w:rPr>
        <w:t>ستقوم بتنسيق مشاركة المجتمعات الأكاديمية للدراسة في موقعي المشروع، بما في ذلك توفير الدعم الرقابي كاستراتيجية متكاملة لإشراك أصحاب المصلحة في استبيان الآراء.</w:t>
      </w:r>
      <w:r>
        <w:t xml:space="preserve"> </w:t>
      </w:r>
      <w:r>
        <w:rPr>
          <w:rFonts w:hint="cs"/>
          <w:rtl/>
        </w:rPr>
        <w:t>كما ستدعم مشاركة مركز جامعة نيجيريا للإدارة والتحكم البيئيين.</w:t>
      </w:r>
    </w:p>
    <w:p w14:paraId="30A0AAD1" w14:textId="1EC5D0EB" w:rsidR="00EF71AD" w:rsidRPr="00E63DCC" w:rsidRDefault="00EF71AD" w:rsidP="00A5640C">
      <w:pPr>
        <w:bidi/>
        <w:rPr>
          <w:b/>
          <w:bCs/>
          <w:rtl/>
        </w:rPr>
      </w:pPr>
      <w:r>
        <w:rPr>
          <w:rFonts w:hint="cs"/>
          <w:b/>
          <w:bCs/>
          <w:rtl/>
        </w:rPr>
        <w:t>[نهاية المثال]</w:t>
      </w:r>
    </w:p>
    <w:p w14:paraId="179001CC" w14:textId="2685D2D9" w:rsidR="00EF71AD" w:rsidRPr="00E63DCC" w:rsidRDefault="00EF71AD" w:rsidP="009E4347">
      <w:pPr>
        <w:bidi/>
        <w:rPr>
          <w:rtl/>
        </w:rPr>
      </w:pPr>
      <w:r>
        <w:rPr>
          <w:rFonts w:hint="cs"/>
          <w:rtl/>
        </w:rPr>
        <w:t>في الخطوة الثانية، سيتعاون فريق المشروع مع منظمات المجتمع المدني المحددة لجمع معلومات قيمة حول كيفية إجراء الدراسة بطريقة يمكن من خلالها تقليل الأضرار المحتملة، وكيفية التعامل مع المجتمعات.</w:t>
      </w:r>
      <w:r>
        <w:t xml:space="preserve"> </w:t>
      </w:r>
    </w:p>
    <w:p w14:paraId="78934762" w14:textId="5F61250F" w:rsidR="00EF71AD" w:rsidRPr="00E63DCC" w:rsidRDefault="00EF71AD" w:rsidP="009E4347">
      <w:pPr>
        <w:bidi/>
        <w:rPr>
          <w:rtl/>
        </w:rPr>
      </w:pPr>
      <w:r>
        <w:rPr>
          <w:rFonts w:hint="cs"/>
          <w:rtl/>
        </w:rPr>
        <w:t>في الخطوة الثالثة، ستنخرط منظمات المجتمع المدني في نهج تشاركي مع المجتمعات لشرح أهداف الدراسة والمخاطر والفوائد المرتبطة بها.</w:t>
      </w:r>
      <w:r>
        <w:t xml:space="preserve"> </w:t>
      </w:r>
      <w:r>
        <w:rPr>
          <w:rFonts w:hint="cs"/>
          <w:rtl/>
        </w:rPr>
        <w:t>سيكون من المهم بشكل خاص التعرف على مخاوف أفراد المجتمع من الضرر المحتمل الذي قد يسببه تنفيذ الدراسة.</w:t>
      </w:r>
      <w:r>
        <w:t xml:space="preserve"> </w:t>
      </w:r>
      <w:r>
        <w:rPr>
          <w:rFonts w:hint="cs"/>
          <w:rtl/>
        </w:rPr>
        <w:t>نظرًا لمعرفة منظمات المجتمع المدني هذه بالمجتمعات وانخراطها المشروع فيها، ستكون مسؤولة عن توفير المعلومات الكافية للمجتمع في ما يتعلق بأنشطة استبيان الآراء، وتوضيح أي مخاوف أو شكوك قد تكون لدى المجتمع حول الموضوع ومخاطر المشاركة.</w:t>
      </w:r>
      <w:r>
        <w:t xml:space="preserve"> </w:t>
      </w:r>
      <w:r>
        <w:rPr>
          <w:rFonts w:hint="cs"/>
          <w:rtl/>
        </w:rPr>
        <w:t>وستقوم أيضًا بإنشاء قنوات اتصال فعالة وتشجيع مشاركة المجتمع والمشاركة في الدراسة.</w:t>
      </w:r>
      <w:r>
        <w:t xml:space="preserve"> </w:t>
      </w:r>
    </w:p>
    <w:p w14:paraId="15B62D36" w14:textId="5C12F223" w:rsidR="00EF71AD" w:rsidRPr="00E63DCC" w:rsidRDefault="00EF71AD" w:rsidP="009E4347">
      <w:pPr>
        <w:bidi/>
        <w:rPr>
          <w:rtl/>
        </w:rPr>
      </w:pPr>
      <w:r>
        <w:rPr>
          <w:rFonts w:hint="cs"/>
          <w:rtl/>
        </w:rPr>
        <w:t>في الخطوة الرابعة، ستعمل منظمات المجتمع المدني بشكل وثيق مع زعماء المجتمع وقادة جمعيات عمال التعدين، لأن لديهم تسهيلات أكبر للتواصل مع المجتمع والمجموعة المستهدفة من الدراسة.</w:t>
      </w:r>
      <w:r>
        <w:t xml:space="preserve"> </w:t>
      </w:r>
      <w:r>
        <w:rPr>
          <w:rFonts w:hint="cs"/>
          <w:rtl/>
        </w:rPr>
        <w:t>سيتم توعية زعماء المجتمع، مع شرح العملية الكاملة لاستبيان الآراء والحاجة إلى المشاركة النشطة من المجتمع والمجموعة المستهدفة حتى يتمكنوا أيضًا من المشاركة في التعبئة لهذه العملية.</w:t>
      </w:r>
      <w:r>
        <w:t xml:space="preserve"> </w:t>
      </w:r>
      <w:r>
        <w:rPr>
          <w:rFonts w:hint="cs"/>
          <w:rtl/>
        </w:rPr>
        <w:t xml:space="preserve">في الواقع، مشاركة مجموعة واسعة من أصحاب المصلحة في المجتمع، بما في ذلك زعماء المجتمع المحلي ([اذكر بعض الأمثلة، مثل الزعيم الديني / الشيخ، المعالجين، القساوسة، خدم المسيح، رؤساء الأحياء])، والمجموعات المجتمعية ([اذكر بعض </w:t>
      </w:r>
      <w:r>
        <w:rPr>
          <w:rFonts w:hint="cs"/>
          <w:rtl/>
        </w:rPr>
        <w:lastRenderedPageBreak/>
        <w:t>الأمثلة، مثل منظمات الشباب، الجمعيات النسائية]) وأعضاء المجتمع المؤثرين الآخرين ([اذكر بعض الأمثلة، مثل العرابات / العرابين للطقوس الشعائرية، المعلمين])، مهم جدًا لقبول الرسالة والالتزام بالدراسة، وكوسيلة للمساهمة في أهداف الدراسة ودفعها إلى الأمام (انظر أيضًا خطة التعبئة الاجتماعية في الملحق 8 للدليل تفصيلي).</w:t>
      </w:r>
      <w:r>
        <w:t xml:space="preserve"> </w:t>
      </w:r>
      <w:r>
        <w:rPr>
          <w:rFonts w:hint="cs"/>
          <w:rtl/>
        </w:rPr>
        <w:t>سوف يلتزم نهج التوعية للمجتمعات المحلية بما يلي [أذكر هنا البروتوكولات والممارسات التي ستلتزم بها خطة التعبئة الاجتماعية] وسيشمل أصحاب مصلحة معنيين على جميع المستويات المعنية.</w:t>
      </w:r>
    </w:p>
    <w:p w14:paraId="4712ACE5" w14:textId="57343C35" w:rsidR="009E5664" w:rsidRPr="00E63DCC" w:rsidRDefault="00CD726E" w:rsidP="00A5640C">
      <w:pPr>
        <w:pStyle w:val="Heading2"/>
        <w:bidi/>
        <w:rPr>
          <w:rtl/>
        </w:rPr>
      </w:pPr>
      <w:bookmarkStart w:id="44" w:name="_Toc67301054"/>
      <w:bookmarkStart w:id="45" w:name="_Toc71095498"/>
      <w:r>
        <w:rPr>
          <w:rFonts w:hint="cs"/>
          <w:rtl/>
        </w:rPr>
        <w:t>3.5 جمع البيانات وأدواتها</w:t>
      </w:r>
      <w:bookmarkEnd w:id="44"/>
      <w:bookmarkEnd w:id="45"/>
    </w:p>
    <w:p w14:paraId="2695369D" w14:textId="09F69599" w:rsidR="0031708F" w:rsidRPr="00E63DCC" w:rsidRDefault="0031708F" w:rsidP="00A5640C">
      <w:pPr>
        <w:bidi/>
        <w:rPr>
          <w:rtl/>
        </w:rPr>
      </w:pPr>
      <w:r>
        <w:rPr>
          <w:rFonts w:hint="cs"/>
          <w:rtl/>
        </w:rPr>
        <w:t>[لتقديم نظرة عامة على الأساليب والأدوات المستخدمة لجمع البيانات في دراستك، يُرجى تعديل كل قسم فرعي أدناه.]</w:t>
      </w:r>
    </w:p>
    <w:p w14:paraId="295F3D76" w14:textId="53D5C7FA" w:rsidR="00311E72" w:rsidRPr="00E63DCC" w:rsidRDefault="003278F0" w:rsidP="00AE7A4D">
      <w:pPr>
        <w:pStyle w:val="Heading3"/>
        <w:bidi/>
        <w:rPr>
          <w:rtl/>
        </w:rPr>
      </w:pPr>
      <w:bookmarkStart w:id="46" w:name="_Toc67301055"/>
      <w:bookmarkStart w:id="47" w:name="_Toc71095499"/>
      <w:r>
        <w:rPr>
          <w:rFonts w:hint="cs"/>
          <w:rtl/>
        </w:rPr>
        <w:t>3.5.1 مراجعة الوثيقة</w:t>
      </w:r>
      <w:bookmarkEnd w:id="46"/>
      <w:bookmarkEnd w:id="47"/>
    </w:p>
    <w:p w14:paraId="6081EBC1" w14:textId="4FEE3C18" w:rsidR="00D83F57" w:rsidRPr="00E63DCC" w:rsidRDefault="006A638A" w:rsidP="00A5640C">
      <w:pPr>
        <w:bidi/>
        <w:rPr>
          <w:rtl/>
        </w:rPr>
      </w:pPr>
      <w:r>
        <w:rPr>
          <w:rFonts w:hint="cs"/>
          <w:rtl/>
        </w:rPr>
        <w:t>سيتم إجراء مراجعة للأدبيات والتقارير المتوفرة حول تعدين الذهب الحرفي والضيق النطاق في [اسم البلد] في المرحلة الأولى من تقييم الوضع الصحي.</w:t>
      </w:r>
      <w:r>
        <w:t xml:space="preserve"> </w:t>
      </w:r>
      <w:r>
        <w:rPr>
          <w:rFonts w:hint="cs"/>
          <w:rtl/>
        </w:rPr>
        <w:t xml:space="preserve">وسيشمل هذا أيضًا المعلومات التي ربما تم جمعها بالفعل من قبل الهيئات الحكومية ذات الصلة كشرط في اتفاقية </w:t>
      </w:r>
      <w:proofErr w:type="spellStart"/>
      <w:r>
        <w:rPr>
          <w:rFonts w:hint="cs"/>
          <w:rtl/>
        </w:rPr>
        <w:t>ميناماتا</w:t>
      </w:r>
      <w:proofErr w:type="spellEnd"/>
      <w:r>
        <w:rPr>
          <w:rFonts w:hint="cs"/>
          <w:rtl/>
        </w:rPr>
        <w:t>.</w:t>
      </w:r>
      <w:r>
        <w:t xml:space="preserve"> </w:t>
      </w:r>
      <w:r>
        <w:rPr>
          <w:rFonts w:hint="cs"/>
          <w:rtl/>
        </w:rPr>
        <w:t>لن تقتصر فائدة مراجعة الأدبيات على أن تكون عنصرًا مهمًا في قاعدة أدلة التقييم فحسب، بل ستفيد أيضًا في تنقيح الاستبيانات شبه المنظمة لإجراء مقابلات المبلغين الرئيسيين ومناقشات مجموعات التركيز على المستوى المحلي، كما هو موضح في الأقسام الفرعية التالية.</w:t>
      </w:r>
    </w:p>
    <w:p w14:paraId="39BCE0C9" w14:textId="5427E3C5" w:rsidR="003F6E11" w:rsidRPr="00E63DCC" w:rsidRDefault="003278F0" w:rsidP="00A5640C">
      <w:pPr>
        <w:pStyle w:val="Heading3"/>
        <w:bidi/>
        <w:rPr>
          <w:rtl/>
        </w:rPr>
      </w:pPr>
      <w:bookmarkStart w:id="48" w:name="_Toc67301056"/>
      <w:bookmarkStart w:id="49" w:name="_Toc71095500"/>
      <w:r>
        <w:rPr>
          <w:rFonts w:hint="cs"/>
          <w:rtl/>
        </w:rPr>
        <w:t>3.5.2 مقابلات المبلغين الرئيسيين</w:t>
      </w:r>
      <w:bookmarkEnd w:id="48"/>
      <w:bookmarkEnd w:id="49"/>
    </w:p>
    <w:p w14:paraId="172FBF9F" w14:textId="01B2D44F" w:rsidR="00442FAC" w:rsidRPr="00E63DCC" w:rsidRDefault="00D142C1" w:rsidP="00A5640C">
      <w:pPr>
        <w:bidi/>
        <w:rPr>
          <w:rtl/>
        </w:rPr>
      </w:pPr>
      <w:bookmarkStart w:id="50" w:name="_Hlk46593009"/>
      <w:r>
        <w:rPr>
          <w:rFonts w:hint="cs"/>
          <w:rtl/>
        </w:rPr>
        <w:t>ستجري المقابلات وفق قوالب استبيان شبه منظمة من دليل منظمة الصحة العالمية التفصيلي والتي تختص بأنواع مختلفة من المبلغين الرئيسيين الذين تمت استشارتهم</w:t>
      </w:r>
      <w:bookmarkEnd w:id="50"/>
      <w:r>
        <w:rPr>
          <w:rFonts w:hint="cs"/>
          <w:rtl/>
        </w:rPr>
        <w:t>.</w:t>
      </w:r>
      <w:r>
        <w:t xml:space="preserve"> </w:t>
      </w:r>
      <w:r>
        <w:rPr>
          <w:rFonts w:hint="cs"/>
          <w:rtl/>
        </w:rPr>
        <w:t>تم وضع استبيانات مقابلات المبلغين الرئيسيين في الملحق 6 للدليل التفصيلي </w:t>
      </w:r>
      <w:r>
        <w:rPr>
          <w:rFonts w:hint="cs"/>
          <w:i/>
          <w:iCs/>
          <w:rtl/>
        </w:rPr>
        <w:t>(8)</w:t>
      </w:r>
      <w:r>
        <w:rPr>
          <w:rFonts w:hint="cs"/>
          <w:rtl/>
        </w:rPr>
        <w:t>.</w:t>
      </w:r>
      <w:r>
        <w:t xml:space="preserve"> </w:t>
      </w:r>
      <w:r>
        <w:rPr>
          <w:rFonts w:hint="cs"/>
          <w:rtl/>
        </w:rPr>
        <w:t>سيتم إجراء تعديلات على السياق المحلي بعد مراجعة الوثيقة وبالتعاون مع الشريك المحلي.</w:t>
      </w:r>
      <w:r>
        <w:t xml:space="preserve"> </w:t>
      </w:r>
    </w:p>
    <w:p w14:paraId="6E662390" w14:textId="7C66652B" w:rsidR="00D142C1" w:rsidRPr="00E63DCC" w:rsidRDefault="00442FAC" w:rsidP="00A5640C">
      <w:pPr>
        <w:bidi/>
        <w:rPr>
          <w:rtl/>
        </w:rPr>
      </w:pPr>
      <w:r>
        <w:rPr>
          <w:rFonts w:hint="cs"/>
          <w:rtl/>
        </w:rPr>
        <w:t>سيتم تحديد العدد الإجمالي لمقابلات المبلغين الرئيسيين (في النطاق [8-11] لكل منطقة لتعدين الذهب الحرفي والضيق النطاق) في وقت الدراسة عندما يشعر الباحث أن جميع الأسئلة المطروحة في أدوات استبيان الآراء قد تمت الإجابة عنها بعمق كافٍ، وتمثل جميع الفئات السكانية محل الاهتمام.</w:t>
      </w:r>
    </w:p>
    <w:p w14:paraId="1D911A4C" w14:textId="501FD893" w:rsidR="003F6E11" w:rsidRPr="00E63DCC" w:rsidRDefault="00AE7A4D" w:rsidP="00A5640C">
      <w:pPr>
        <w:pStyle w:val="Heading3"/>
        <w:bidi/>
        <w:rPr>
          <w:rtl/>
        </w:rPr>
      </w:pPr>
      <w:bookmarkStart w:id="51" w:name="_Toc67301057"/>
      <w:bookmarkStart w:id="52" w:name="_Toc71095501"/>
      <w:r>
        <w:rPr>
          <w:rFonts w:hint="cs"/>
          <w:rtl/>
        </w:rPr>
        <w:t>3.5.3 مناقشات مجموعات التركيز</w:t>
      </w:r>
      <w:bookmarkEnd w:id="51"/>
      <w:bookmarkEnd w:id="52"/>
    </w:p>
    <w:p w14:paraId="3BDB6FEA" w14:textId="76B226B1" w:rsidR="000E3F58" w:rsidRPr="00E63DCC" w:rsidRDefault="000E3F58" w:rsidP="00A5640C">
      <w:pPr>
        <w:bidi/>
        <w:rPr>
          <w:rtl/>
        </w:rPr>
      </w:pPr>
      <w:r>
        <w:rPr>
          <w:rFonts w:hint="cs"/>
          <w:rtl/>
        </w:rPr>
        <w:t>ستجري المقابلات وفق قوالب استبيان شبه منظمة من دليل منظمة الصحة العالمية التفصيلي والتي تختص بأنواع مختلفة من مجموعات المشاركين المستهدفة.</w:t>
      </w:r>
      <w:r>
        <w:t xml:space="preserve"> </w:t>
      </w:r>
      <w:r>
        <w:rPr>
          <w:rFonts w:hint="cs"/>
          <w:rtl/>
        </w:rPr>
        <w:t>تظهر قوالب استبيانات مناقشات مجموعات التركيز في الملحق 7 للدليل التفصيلي.</w:t>
      </w:r>
      <w:r>
        <w:t xml:space="preserve"> </w:t>
      </w:r>
      <w:r>
        <w:rPr>
          <w:rFonts w:hint="cs"/>
          <w:rtl/>
        </w:rPr>
        <w:t>سيتم إجراء تعديلات على السياق المحلي بعد مراجعة الوثيقة وبالتعاون مع الشريك المحلي.</w:t>
      </w:r>
      <w:r>
        <w:t xml:space="preserve"> </w:t>
      </w:r>
      <w:r>
        <w:rPr>
          <w:rFonts w:hint="cs"/>
          <w:rtl/>
        </w:rPr>
        <w:t>ستتم تغطية الموضوعات نفسها الخاصة بمقابلات المبلغين الرئيسيين في إطار مناقشة مجموعة التركيز باستخدام مسار من الأسئلة غير محددة الإجابات.</w:t>
      </w:r>
      <w:r>
        <w:t xml:space="preserve"> </w:t>
      </w:r>
      <w:r>
        <w:rPr>
          <w:rFonts w:hint="cs"/>
          <w:rtl/>
        </w:rPr>
        <w:t>ستتم ترجمة الاستبيانات وإجراؤها باللغات المحلية.</w:t>
      </w:r>
      <w:r>
        <w:t xml:space="preserve"> </w:t>
      </w:r>
      <w:r>
        <w:rPr>
          <w:rFonts w:hint="cs"/>
          <w:rtl/>
        </w:rPr>
        <w:t>بينما يقوم الباحث بتوجيه مناقشة مجموعة التركيز، سيتولى الشريك المحلي والعامل الصحي المجتمعي دعم الترجمات.</w:t>
      </w:r>
    </w:p>
    <w:p w14:paraId="3F1ABCAE" w14:textId="6E80C05B" w:rsidR="00051C1A" w:rsidRPr="00E63DCC" w:rsidRDefault="000E3F58" w:rsidP="00A5640C">
      <w:pPr>
        <w:bidi/>
        <w:rPr>
          <w:rtl/>
        </w:rPr>
      </w:pPr>
      <w:r>
        <w:rPr>
          <w:rFonts w:hint="cs"/>
          <w:rtl/>
        </w:rPr>
        <w:t>سيتم استخدام اللوحات الورقية كوسيلة مساعدة لتناول مشاكل محددة مثل الوصول إلى الرعاية الصحية ومسارات التعرض للزئبق والملوثات الأخرى المحتملة.</w:t>
      </w:r>
      <w:r>
        <w:t xml:space="preserve"> </w:t>
      </w:r>
      <w:r>
        <w:rPr>
          <w:rFonts w:hint="cs"/>
          <w:rtl/>
        </w:rPr>
        <w:t>سيتم ترك المناقشات مفتوحة بعد طرح سؤال، وتشجيع المشاركة النشطة والعفوية.</w:t>
      </w:r>
      <w:r>
        <w:t xml:space="preserve"> </w:t>
      </w:r>
      <w:r>
        <w:rPr>
          <w:rFonts w:hint="cs"/>
          <w:rtl/>
        </w:rPr>
        <w:t>ستتم ترجمة الأسئلة إلى اللغات المحلية حسب الحاجة.</w:t>
      </w:r>
      <w:r>
        <w:t xml:space="preserve"> </w:t>
      </w:r>
      <w:r>
        <w:rPr>
          <w:rFonts w:hint="cs"/>
          <w:rtl/>
        </w:rPr>
        <w:t>سيتم تحديد العدد الإجمالي لمناقشات مجموعات التركيز (في النطاق [6-12] لكل منطقة لتعدين الذهب الحرفي والضيق النطاق) في وقت الدراسة عندما يشعر الباحث أن جميع الأسئلة المطروحة في أدوات استبيان الآراء قد تمت الإجابة عنها بعمق كافٍ، وتمثل جميع الفئات السكانية محل الاهتمام.</w:t>
      </w:r>
    </w:p>
    <w:p w14:paraId="7FC5384C" w14:textId="1071A5A4" w:rsidR="00F612FB" w:rsidRPr="00E63DCC" w:rsidRDefault="006F3769" w:rsidP="00A5640C">
      <w:pPr>
        <w:pStyle w:val="Heading3"/>
        <w:bidi/>
        <w:rPr>
          <w:rtl/>
        </w:rPr>
      </w:pPr>
      <w:bookmarkStart w:id="53" w:name="_Toc67301058"/>
      <w:bookmarkStart w:id="54" w:name="_Toc71095502"/>
      <w:r>
        <w:rPr>
          <w:rFonts w:hint="cs"/>
          <w:rtl/>
        </w:rPr>
        <w:t>3.5.4 تقييم المنشآت الصحية</w:t>
      </w:r>
      <w:bookmarkEnd w:id="53"/>
      <w:bookmarkEnd w:id="54"/>
    </w:p>
    <w:p w14:paraId="206CE6D9" w14:textId="472F080A" w:rsidR="00091506" w:rsidRPr="00E63DCC" w:rsidRDefault="00091506" w:rsidP="00A5640C">
      <w:pPr>
        <w:bidi/>
        <w:rPr>
          <w:rtl/>
        </w:rPr>
      </w:pPr>
      <w:r>
        <w:rPr>
          <w:rFonts w:hint="cs"/>
          <w:rtl/>
        </w:rPr>
        <w:t>على مستوى المنشآت الصحية (في نطاق [2-3] لكل منطقة لتعدين الذهب الحرفي والضيق النطاق)، سيتم إجراء تقييم المنشآت الصحية لتقييم قدرة النظام الصحي واستعداده لتقديم الخدمات الصحية.</w:t>
      </w:r>
      <w:r>
        <w:t xml:space="preserve"> </w:t>
      </w:r>
      <w:r>
        <w:rPr>
          <w:rFonts w:hint="cs"/>
          <w:rtl/>
        </w:rPr>
        <w:t>وهذا يشمل مثلاً قدرة الموارد البشرية، والبروتوكولات القائمة، وتوافر المعدات والتشخيصات ووظائفهم، وتوافر الأدوية والتدابير القائمة لمكافحة العدوى.</w:t>
      </w:r>
    </w:p>
    <w:p w14:paraId="1C54230F" w14:textId="0543982C" w:rsidR="00091506" w:rsidRPr="00E63DCC" w:rsidRDefault="00091506" w:rsidP="00A5640C">
      <w:pPr>
        <w:bidi/>
        <w:rPr>
          <w:rtl/>
        </w:rPr>
      </w:pPr>
      <w:r>
        <w:rPr>
          <w:rFonts w:hint="cs"/>
          <w:rtl/>
        </w:rPr>
        <w:t>لهذا الغرض، سيتم استخدام نموذج تقييم المنشآت الصحية الوارد في دليل منظمة الصحة العالمية التفصيلي.</w:t>
      </w:r>
      <w:r>
        <w:t xml:space="preserve"> </w:t>
      </w:r>
      <w:r>
        <w:rPr>
          <w:rFonts w:hint="cs"/>
          <w:rtl/>
        </w:rPr>
        <w:t>النموذج عبارة عن نسخة معدلة ومختصرة من أداة تقييم مدى توافر الخدمة وجاهزيتها (</w:t>
      </w:r>
      <w:r>
        <w:t>SARA</w:t>
      </w:r>
      <w:r>
        <w:rPr>
          <w:rFonts w:hint="cs"/>
          <w:rtl/>
        </w:rPr>
        <w:t xml:space="preserve">) لدى منظمة الصحة العالمية، مع أسئلة إضافية مدرجة على أساس الورقة التقنية الصادرة عن المنظمة بعنوان </w:t>
      </w:r>
      <w:r w:rsidR="000D2763">
        <w:t xml:space="preserve">Environmental and occupational health hazards </w:t>
      </w:r>
      <w:r w:rsidR="000D2763">
        <w:lastRenderedPageBreak/>
        <w:t>associated with artisanal and small-scale gold mining. Geneva: World Health Organization; 2016</w:t>
      </w:r>
      <w:r w:rsidR="000D2763">
        <w:rPr>
          <w:rFonts w:hint="cs"/>
          <w:rtl/>
        </w:rPr>
        <w:t xml:space="preserve"> (</w:t>
      </w:r>
      <w:r w:rsidR="000D2763" w:rsidRPr="00575591">
        <w:rPr>
          <w:rFonts w:cs="Arial"/>
          <w:spacing w:val="-4"/>
          <w:rtl/>
        </w:rPr>
        <w:t>المخاطر الصحية البيئية والمهنية المرتبطة بتعدين الذهب الحرفي والضيق النطاق. جنيف: منظمة الصحة العالمية</w:t>
      </w:r>
      <w:r w:rsidR="000D2763">
        <w:rPr>
          <w:rFonts w:cs="Arial" w:hint="cs"/>
          <w:spacing w:val="-4"/>
          <w:rtl/>
        </w:rPr>
        <w:t>)</w:t>
      </w:r>
      <w:r>
        <w:rPr>
          <w:rFonts w:hint="cs"/>
          <w:i/>
          <w:iCs/>
          <w:rtl/>
        </w:rPr>
        <w:t xml:space="preserve"> (5)</w:t>
      </w:r>
      <w:r>
        <w:rPr>
          <w:rFonts w:hint="cs"/>
          <w:rtl/>
        </w:rPr>
        <w:t> لتحديد مدى الاستعداد للتعامل مع المشاكل الصحية البيئية والمهنية الشائعة المرتبطة بالتعدين.</w:t>
      </w:r>
      <w:r>
        <w:t xml:space="preserve"> </w:t>
      </w:r>
      <w:r>
        <w:rPr>
          <w:rFonts w:hint="cs"/>
          <w:rtl/>
        </w:rPr>
        <w:t>وهي تشمل القدرة على التعامل مع حالات التسمم، وخاصةً التسمم بالزئبق والسيانيد، وتوافر خدمات الصحة المهنية الأساسية، والقدرة على التعامل مع الصدمات، بما في ذلك الحروق.</w:t>
      </w:r>
      <w:r>
        <w:t xml:space="preserve"> </w:t>
      </w:r>
      <w:r>
        <w:rPr>
          <w:rFonts w:hint="cs"/>
          <w:rtl/>
        </w:rPr>
        <w:t>كما سيتم النظر في القدرات المختبرية الأساسية المتاحة وبروتوكولات الإحالة للتعامل مع المشاكل الصحية المتعلقة بتعدين الذهب الحرفي والضيق النطاق.</w:t>
      </w:r>
      <w:r>
        <w:t xml:space="preserve"> </w:t>
      </w:r>
      <w:r>
        <w:rPr>
          <w:rFonts w:hint="cs"/>
          <w:rtl/>
        </w:rPr>
        <w:t>يوجد قالب أداة تقييم المنشآت الصحية ضمن الملحق 9 للدليل التفصيلي.</w:t>
      </w:r>
    </w:p>
    <w:p w14:paraId="09C47D0F" w14:textId="753A3C25" w:rsidR="0049143B" w:rsidRPr="00E63DCC" w:rsidRDefault="0049143B" w:rsidP="00A5640C">
      <w:pPr>
        <w:bidi/>
        <w:rPr>
          <w:rtl/>
        </w:rPr>
      </w:pPr>
      <w:r>
        <w:rPr>
          <w:rFonts w:hint="cs"/>
          <w:rtl/>
        </w:rPr>
        <w:t>خلال مقابلة المبلغ الرئيسي مع مقدم الرعاية الصحية وتقييم المنشآت الصحية، سيتم جمع الإحصائيات من المعلومات الصحية الروتينية، مع التركيز بشكل خاص على الظروف الصحية المتعلقة بمشاكل تعدين الذهب الحرفي والضيق النطاق، مثل معدل وقوع الحوادث والإصابات وأنواعها.</w:t>
      </w:r>
      <w:r>
        <w:t xml:space="preserve"> </w:t>
      </w:r>
      <w:r>
        <w:rPr>
          <w:rFonts w:hint="cs"/>
          <w:rtl/>
        </w:rPr>
        <w:t>سيتم جمع أي بيانات صحية بشكل لا يحدد الهوية.</w:t>
      </w:r>
      <w:r>
        <w:t xml:space="preserve"> </w:t>
      </w:r>
      <w:r>
        <w:rPr>
          <w:rFonts w:hint="cs"/>
          <w:rtl/>
        </w:rPr>
        <w:t>بالإضافة إلى ذلك، سيتم تحديد تغطية مواقع تعدين الذهب الحرفي والضيق النطاق من قبل النظام الصحي المحيط.</w:t>
      </w:r>
      <w:r>
        <w:t xml:space="preserve"> </w:t>
      </w:r>
      <w:r>
        <w:rPr>
          <w:rFonts w:hint="cs"/>
          <w:rtl/>
        </w:rPr>
        <w:t>من خلال فحص بيانات تقييم المنشآت الصحية ومقابلة المبلغ الرئيسي والإحصاءات الصحية يمكن التوصل إلى فهم أعمق للعبء الصحي وسلوك المشورة الصحية واستعداد النظام الصحي.</w:t>
      </w:r>
    </w:p>
    <w:p w14:paraId="0FA1C13C" w14:textId="12981056" w:rsidR="006F619D" w:rsidRPr="00E63DCC" w:rsidRDefault="000C1B29" w:rsidP="00A5640C">
      <w:pPr>
        <w:pStyle w:val="Heading3"/>
        <w:bidi/>
        <w:rPr>
          <w:rtl/>
        </w:rPr>
      </w:pPr>
      <w:bookmarkStart w:id="55" w:name="_Toc67301059"/>
      <w:bookmarkStart w:id="56" w:name="_Toc71095503"/>
      <w:r>
        <w:rPr>
          <w:rFonts w:hint="cs"/>
          <w:rtl/>
        </w:rPr>
        <w:t>3.5.5 المراقبة المباشرة</w:t>
      </w:r>
      <w:bookmarkEnd w:id="55"/>
      <w:bookmarkEnd w:id="56"/>
    </w:p>
    <w:p w14:paraId="5999E92A" w14:textId="68DA8432" w:rsidR="006F619D" w:rsidRPr="00E63DCC" w:rsidRDefault="006F619D" w:rsidP="00A5640C">
      <w:pPr>
        <w:bidi/>
        <w:rPr>
          <w:rtl/>
        </w:rPr>
      </w:pPr>
      <w:r>
        <w:rPr>
          <w:rFonts w:hint="cs"/>
          <w:rtl/>
        </w:rPr>
        <w:t>المراقبة المباشرة هي وسيلة مهمة أخرى لجمع البيانات أثناء أنشطة العمل الميداني.</w:t>
      </w:r>
      <w:r>
        <w:t xml:space="preserve"> </w:t>
      </w:r>
      <w:r>
        <w:rPr>
          <w:rFonts w:hint="cs"/>
          <w:rtl/>
        </w:rPr>
        <w:t>في حين أن التقييم الشامل للعمليات في العمل ومسارات التعرض والجوانب الأخرى في موقع تعدين الذهب الحرفي والضيق النطاق تقع خارج نطاق هذا البحث، سيتم إجراء تقييم سريع بالملاحظة في حدود المتاح.</w:t>
      </w:r>
      <w:r>
        <w:t xml:space="preserve"> </w:t>
      </w:r>
      <w:r>
        <w:rPr>
          <w:rFonts w:hint="cs"/>
          <w:rtl/>
        </w:rPr>
        <w:t>لهذا الغرض، سيتم استخدام نموذج أداة الملاحظة "جولة في الموقع" المتوفر في إرشاد منظمة الصحة العالمية لوصف عمليات وظروف عمل تعدين الذهب الحرفي والضيق النطاق، والوصول إلى مياه الشرب والصرف الصحي، واستخدام تدابير الحماية الشخصية، ووسائل النقل، وأنشطة نشر خدمات الصحة العامة في مواقع تعدين الذهب الحرفي والضيق النطاق وغيرها من الخصائص المهمة للموقع.</w:t>
      </w:r>
      <w:r>
        <w:t xml:space="preserve"> </w:t>
      </w:r>
      <w:r>
        <w:rPr>
          <w:rFonts w:hint="cs"/>
          <w:rtl/>
        </w:rPr>
        <w:t>توجد الأداة ضمن الملحق 10 للدليل التفصيلي.</w:t>
      </w:r>
    </w:p>
    <w:p w14:paraId="261AA3A0" w14:textId="50609AFE" w:rsidR="009E5664" w:rsidRPr="00E63DCC" w:rsidRDefault="006032AD" w:rsidP="00A5640C">
      <w:pPr>
        <w:pStyle w:val="Heading3"/>
        <w:bidi/>
        <w:rPr>
          <w:rtl/>
        </w:rPr>
      </w:pPr>
      <w:bookmarkStart w:id="57" w:name="_Toc67301060"/>
      <w:bookmarkStart w:id="58" w:name="_Toc71095504"/>
      <w:r>
        <w:rPr>
          <w:rFonts w:hint="cs"/>
          <w:rtl/>
        </w:rPr>
        <w:t>3.5.6 ملخص جمع البيانات</w:t>
      </w:r>
      <w:bookmarkEnd w:id="57"/>
      <w:bookmarkEnd w:id="58"/>
    </w:p>
    <w:p w14:paraId="4D6F7939" w14:textId="6149BA03" w:rsidR="006F619D" w:rsidRPr="00E63DCC" w:rsidRDefault="006F619D" w:rsidP="00A5640C">
      <w:pPr>
        <w:bidi/>
        <w:rPr>
          <w:rtl/>
        </w:rPr>
      </w:pPr>
      <w:r>
        <w:rPr>
          <w:rFonts w:hint="cs"/>
          <w:rtl/>
        </w:rPr>
        <w:t>يقدم الجدول 4 ملخصًا لمجموعات المشاركين في الدراسة وأدوات الدراسة ذات الصلة (بما في ذلك معلومات المشاركين)، مع أرقام الملاحق عند توفرها.</w:t>
      </w:r>
    </w:p>
    <w:p w14:paraId="516D73DC" w14:textId="77777777" w:rsidR="001C036D" w:rsidRPr="00E63DCC" w:rsidRDefault="001C036D" w:rsidP="00A5640C">
      <w:pPr>
        <w:rPr>
          <w:lang w:val="en-GB"/>
        </w:rPr>
      </w:pPr>
    </w:p>
    <w:p w14:paraId="7F098C0E" w14:textId="77777777" w:rsidR="00237414" w:rsidRPr="00E63DCC" w:rsidRDefault="00237414" w:rsidP="00A5640C">
      <w:pPr>
        <w:rPr>
          <w:lang w:val="en-GB"/>
        </w:rPr>
        <w:sectPr w:rsidR="00237414" w:rsidRPr="00E63DCC" w:rsidSect="00E63DCC">
          <w:headerReference w:type="default" r:id="rId12"/>
          <w:footerReference w:type="even" r:id="rId13"/>
          <w:footerReference w:type="default" r:id="rId14"/>
          <w:pgSz w:w="11906" w:h="16838"/>
          <w:pgMar w:top="1440" w:right="1440" w:bottom="1440" w:left="1440" w:header="720" w:footer="720" w:gutter="0"/>
          <w:cols w:space="708"/>
          <w:docGrid w:linePitch="360"/>
        </w:sectPr>
      </w:pPr>
    </w:p>
    <w:p w14:paraId="3A7637E0" w14:textId="77777777" w:rsidR="00CE4343" w:rsidRPr="00E63DCC" w:rsidRDefault="006F619D" w:rsidP="00A5640C">
      <w:pPr>
        <w:bidi/>
        <w:rPr>
          <w:rtl/>
        </w:rPr>
      </w:pPr>
      <w:bookmarkStart w:id="59" w:name="_Ref479604736"/>
      <w:r>
        <w:rPr>
          <w:rFonts w:hint="cs"/>
          <w:rtl/>
        </w:rPr>
        <w:lastRenderedPageBreak/>
        <w:t>[مثال للجدول]:</w:t>
      </w:r>
      <w:r>
        <w:t xml:space="preserve"> </w:t>
      </w:r>
    </w:p>
    <w:p w14:paraId="2C4EE4A8" w14:textId="6645637B" w:rsidR="00DA6548" w:rsidRPr="00E63DCC" w:rsidRDefault="008874D2" w:rsidP="009104B7">
      <w:pPr>
        <w:pStyle w:val="Tablehead"/>
        <w:bidi/>
        <w:rPr>
          <w:rtl/>
        </w:rPr>
      </w:pPr>
      <w:bookmarkStart w:id="60" w:name="_Toc66796459"/>
      <w:r>
        <w:rPr>
          <w:rFonts w:hint="cs"/>
          <w:rtl/>
        </w:rPr>
        <w:t xml:space="preserve">الجدول </w:t>
      </w:r>
      <w:fldSimple w:instr=" SEQ Table \* ARABIC ">
        <w:r w:rsidR="00482197">
          <w:rPr>
            <w:noProof/>
          </w:rPr>
          <w:t>4</w:t>
        </w:r>
      </w:fldSimple>
      <w:bookmarkEnd w:id="59"/>
      <w:r>
        <w:rPr>
          <w:rFonts w:hint="cs"/>
          <w:rtl/>
        </w:rPr>
        <w:t>.</w:t>
      </w:r>
      <w:r>
        <w:t xml:space="preserve"> </w:t>
      </w:r>
      <w:r>
        <w:rPr>
          <w:rFonts w:hint="cs"/>
          <w:rtl/>
        </w:rPr>
        <w:t>جدول ملخص جمع البيانات</w:t>
      </w:r>
      <w:bookmarkEnd w:id="60"/>
      <w:r>
        <w:t xml:space="preserve"> </w:t>
      </w:r>
    </w:p>
    <w:tbl>
      <w:tblPr>
        <w:bidiVisual/>
        <w:tblW w:w="15452" w:type="dxa"/>
        <w:tblInd w:w="-7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85" w:type="dxa"/>
          <w:bottom w:w="45" w:type="dxa"/>
          <w:right w:w="85" w:type="dxa"/>
        </w:tblCellMar>
        <w:tblLook w:val="04A0" w:firstRow="1" w:lastRow="0" w:firstColumn="1" w:lastColumn="0" w:noHBand="0" w:noVBand="1"/>
      </w:tblPr>
      <w:tblGrid>
        <w:gridCol w:w="3946"/>
        <w:gridCol w:w="3142"/>
        <w:gridCol w:w="1560"/>
        <w:gridCol w:w="1984"/>
        <w:gridCol w:w="2552"/>
        <w:gridCol w:w="2268"/>
      </w:tblGrid>
      <w:tr w:rsidR="001A527B" w:rsidRPr="00E63DCC" w14:paraId="3C98EDB4" w14:textId="77777777" w:rsidTr="001A527B">
        <w:trPr>
          <w:tblHeader/>
        </w:trPr>
        <w:tc>
          <w:tcPr>
            <w:tcW w:w="3946" w:type="dxa"/>
            <w:shd w:val="clear" w:color="auto" w:fill="CCFFFF"/>
            <w:vAlign w:val="center"/>
          </w:tcPr>
          <w:p w14:paraId="69A6C656" w14:textId="77777777" w:rsidR="00DA6548" w:rsidRPr="00E63DCC" w:rsidRDefault="00DA6548" w:rsidP="001A527B">
            <w:pPr>
              <w:pStyle w:val="Tabletext0"/>
              <w:bidi/>
              <w:spacing w:after="0" w:line="240" w:lineRule="auto"/>
              <w:rPr>
                <w:b/>
                <w:rtl/>
              </w:rPr>
            </w:pPr>
            <w:r>
              <w:rPr>
                <w:rFonts w:hint="cs"/>
                <w:b/>
                <w:bCs/>
                <w:rtl/>
              </w:rPr>
              <w:t>نشاط جمع البيانات</w:t>
            </w:r>
          </w:p>
        </w:tc>
        <w:tc>
          <w:tcPr>
            <w:tcW w:w="3142" w:type="dxa"/>
            <w:shd w:val="clear" w:color="auto" w:fill="CCFFFF"/>
            <w:vAlign w:val="center"/>
          </w:tcPr>
          <w:p w14:paraId="3E13D21F" w14:textId="77777777" w:rsidR="00DA6548" w:rsidRPr="00E63DCC" w:rsidRDefault="00DA6548" w:rsidP="001A527B">
            <w:pPr>
              <w:pStyle w:val="Tabletext0"/>
              <w:bidi/>
              <w:spacing w:after="0" w:line="240" w:lineRule="auto"/>
              <w:rPr>
                <w:b/>
                <w:rtl/>
              </w:rPr>
            </w:pPr>
            <w:r>
              <w:rPr>
                <w:rFonts w:hint="cs"/>
                <w:b/>
                <w:bCs/>
                <w:rtl/>
              </w:rPr>
              <w:t>أداة الدراسة، مصدر البيانات</w:t>
            </w:r>
          </w:p>
        </w:tc>
        <w:tc>
          <w:tcPr>
            <w:tcW w:w="1560" w:type="dxa"/>
            <w:shd w:val="clear" w:color="auto" w:fill="CCFFFF"/>
            <w:vAlign w:val="center"/>
          </w:tcPr>
          <w:p w14:paraId="1970B2ED" w14:textId="622A7958" w:rsidR="00DA6548" w:rsidRPr="00E63DCC" w:rsidRDefault="00D4288D" w:rsidP="001A527B">
            <w:pPr>
              <w:pStyle w:val="Tabletext0"/>
              <w:bidi/>
              <w:spacing w:after="0" w:line="240" w:lineRule="auto"/>
              <w:rPr>
                <w:b/>
                <w:rtl/>
              </w:rPr>
            </w:pPr>
            <w:proofErr w:type="spellStart"/>
            <w:r>
              <w:rPr>
                <w:rFonts w:hint="cs"/>
                <w:b/>
                <w:bCs/>
                <w:rtl/>
              </w:rPr>
              <w:t>الملحق</w:t>
            </w:r>
            <w:r>
              <w:rPr>
                <w:rFonts w:hint="cs"/>
                <w:b/>
                <w:bCs/>
                <w:vertAlign w:val="superscript"/>
                <w:rtl/>
              </w:rPr>
              <w:t>أ</w:t>
            </w:r>
            <w:proofErr w:type="spellEnd"/>
          </w:p>
        </w:tc>
        <w:tc>
          <w:tcPr>
            <w:tcW w:w="1984" w:type="dxa"/>
            <w:shd w:val="clear" w:color="auto" w:fill="CCFFFF"/>
            <w:vAlign w:val="center"/>
          </w:tcPr>
          <w:p w14:paraId="138CE267" w14:textId="77777777" w:rsidR="00DA6548" w:rsidRPr="00E63DCC" w:rsidRDefault="00065CB1" w:rsidP="001A527B">
            <w:pPr>
              <w:pStyle w:val="Tabletext0"/>
              <w:bidi/>
              <w:spacing w:after="0" w:line="240" w:lineRule="auto"/>
              <w:rPr>
                <w:b/>
                <w:rtl/>
              </w:rPr>
            </w:pPr>
            <w:r>
              <w:rPr>
                <w:rFonts w:hint="cs"/>
                <w:b/>
                <w:bCs/>
                <w:rtl/>
              </w:rPr>
              <w:t>نوع البيانات</w:t>
            </w:r>
          </w:p>
        </w:tc>
        <w:tc>
          <w:tcPr>
            <w:tcW w:w="2552" w:type="dxa"/>
            <w:shd w:val="clear" w:color="auto" w:fill="CCFFFF"/>
            <w:vAlign w:val="center"/>
          </w:tcPr>
          <w:p w14:paraId="1ED634A7" w14:textId="0DD9FE25" w:rsidR="00DA6548" w:rsidRPr="00E63DCC" w:rsidRDefault="00405743" w:rsidP="001A527B">
            <w:pPr>
              <w:pStyle w:val="Tabletext0"/>
              <w:bidi/>
              <w:spacing w:after="0" w:line="240" w:lineRule="auto"/>
              <w:rPr>
                <w:b/>
                <w:rtl/>
              </w:rPr>
            </w:pPr>
            <w:r>
              <w:rPr>
                <w:rFonts w:hint="cs"/>
                <w:b/>
                <w:bCs/>
                <w:rtl/>
              </w:rPr>
              <w:t>المشاركون، المجموعات</w:t>
            </w:r>
          </w:p>
        </w:tc>
        <w:tc>
          <w:tcPr>
            <w:tcW w:w="2268" w:type="dxa"/>
            <w:shd w:val="clear" w:color="auto" w:fill="CCFFFF"/>
            <w:vAlign w:val="center"/>
          </w:tcPr>
          <w:p w14:paraId="1AAEBD17" w14:textId="77777777" w:rsidR="00DA6548" w:rsidRPr="00E63DCC" w:rsidRDefault="00A4376E" w:rsidP="001A527B">
            <w:pPr>
              <w:pStyle w:val="Tabletext0"/>
              <w:bidi/>
              <w:spacing w:after="0" w:line="240" w:lineRule="auto"/>
              <w:rPr>
                <w:b/>
                <w:rtl/>
              </w:rPr>
            </w:pPr>
            <w:r>
              <w:rPr>
                <w:rFonts w:hint="cs"/>
                <w:b/>
                <w:bCs/>
                <w:rtl/>
              </w:rPr>
              <w:t>التحليل</w:t>
            </w:r>
          </w:p>
        </w:tc>
      </w:tr>
      <w:tr w:rsidR="00D17821" w:rsidRPr="00E63DCC" w14:paraId="2DBF9E11" w14:textId="77777777" w:rsidTr="001A527B">
        <w:tc>
          <w:tcPr>
            <w:tcW w:w="15452" w:type="dxa"/>
            <w:gridSpan w:val="6"/>
            <w:shd w:val="clear" w:color="auto" w:fill="FFFF99"/>
            <w:vAlign w:val="center"/>
          </w:tcPr>
          <w:p w14:paraId="51E3DDC5" w14:textId="77777777" w:rsidR="00D17821" w:rsidRPr="00E63DCC" w:rsidRDefault="00D17821" w:rsidP="001A527B">
            <w:pPr>
              <w:pStyle w:val="Tabletext0"/>
              <w:bidi/>
              <w:spacing w:after="0" w:line="240" w:lineRule="auto"/>
              <w:rPr>
                <w:rtl/>
              </w:rPr>
            </w:pPr>
            <w:r>
              <w:rPr>
                <w:rFonts w:hint="cs"/>
                <w:rtl/>
              </w:rPr>
              <w:t>مراجعة الوثيقة</w:t>
            </w:r>
          </w:p>
        </w:tc>
      </w:tr>
      <w:tr w:rsidR="001A527B" w:rsidRPr="00E63DCC" w14:paraId="2BC67EF5" w14:textId="77777777" w:rsidTr="001A527B">
        <w:tc>
          <w:tcPr>
            <w:tcW w:w="3946" w:type="dxa"/>
            <w:vAlign w:val="center"/>
          </w:tcPr>
          <w:p w14:paraId="2B1FC14D" w14:textId="77777777" w:rsidR="00F158F4" w:rsidRPr="00E63DCC" w:rsidRDefault="00F158F4" w:rsidP="001A527B">
            <w:pPr>
              <w:pStyle w:val="Tabletext0"/>
              <w:bidi/>
              <w:spacing w:after="0" w:line="240" w:lineRule="auto"/>
              <w:rPr>
                <w:rtl/>
              </w:rPr>
            </w:pPr>
            <w:r>
              <w:rPr>
                <w:rFonts w:hint="cs"/>
                <w:rtl/>
              </w:rPr>
              <w:t>الأدبيات العلمية</w:t>
            </w:r>
          </w:p>
        </w:tc>
        <w:tc>
          <w:tcPr>
            <w:tcW w:w="3142" w:type="dxa"/>
            <w:vAlign w:val="center"/>
          </w:tcPr>
          <w:p w14:paraId="7C47799D" w14:textId="77777777" w:rsidR="00F158F4" w:rsidRPr="00E63DCC" w:rsidRDefault="00F158F4" w:rsidP="001A527B">
            <w:pPr>
              <w:pStyle w:val="Tabletext0"/>
              <w:bidi/>
              <w:spacing w:after="0" w:line="240" w:lineRule="auto"/>
              <w:rPr>
                <w:rtl/>
              </w:rPr>
            </w:pPr>
            <w:r>
              <w:rPr>
                <w:rFonts w:hint="cs"/>
                <w:rtl/>
              </w:rPr>
              <w:t>الأدبيات العلمية</w:t>
            </w:r>
          </w:p>
        </w:tc>
        <w:tc>
          <w:tcPr>
            <w:tcW w:w="1560" w:type="dxa"/>
            <w:vAlign w:val="center"/>
          </w:tcPr>
          <w:p w14:paraId="5D1189A6" w14:textId="79B5B167" w:rsidR="00F158F4" w:rsidRPr="00E63DCC" w:rsidRDefault="00FF6DAE" w:rsidP="001A527B">
            <w:pPr>
              <w:pStyle w:val="Tabletext0"/>
              <w:bidi/>
              <w:spacing w:after="0" w:line="240" w:lineRule="auto"/>
              <w:rPr>
                <w:rtl/>
              </w:rPr>
            </w:pPr>
            <w:r>
              <w:rPr>
                <w:rFonts w:hint="cs"/>
                <w:rtl/>
              </w:rPr>
              <w:t>غير متوفرة</w:t>
            </w:r>
          </w:p>
        </w:tc>
        <w:tc>
          <w:tcPr>
            <w:tcW w:w="1984" w:type="dxa"/>
            <w:vMerge w:val="restart"/>
            <w:vAlign w:val="center"/>
          </w:tcPr>
          <w:p w14:paraId="04DA8AD6" w14:textId="77777777" w:rsidR="00F158F4" w:rsidRPr="00E63DCC" w:rsidRDefault="00F158F4" w:rsidP="001A527B">
            <w:pPr>
              <w:pStyle w:val="Tabletext0"/>
              <w:bidi/>
              <w:spacing w:after="0" w:line="240" w:lineRule="auto"/>
              <w:rPr>
                <w:rtl/>
              </w:rPr>
            </w:pPr>
            <w:r>
              <w:rPr>
                <w:rFonts w:hint="cs"/>
                <w:rtl/>
              </w:rPr>
              <w:t>نوعي وكمي</w:t>
            </w:r>
          </w:p>
        </w:tc>
        <w:tc>
          <w:tcPr>
            <w:tcW w:w="2552" w:type="dxa"/>
            <w:vAlign w:val="center"/>
          </w:tcPr>
          <w:p w14:paraId="4F0CEBF0" w14:textId="0822197C" w:rsidR="00F158F4" w:rsidRPr="00E63DCC" w:rsidRDefault="00FF6DAE" w:rsidP="001A527B">
            <w:pPr>
              <w:pStyle w:val="Tabletext0"/>
              <w:bidi/>
              <w:spacing w:after="0" w:line="240" w:lineRule="auto"/>
              <w:rPr>
                <w:rtl/>
              </w:rPr>
            </w:pPr>
            <w:r>
              <w:rPr>
                <w:rFonts w:hint="cs"/>
                <w:rtl/>
              </w:rPr>
              <w:t>غير متوفرة</w:t>
            </w:r>
          </w:p>
        </w:tc>
        <w:tc>
          <w:tcPr>
            <w:tcW w:w="2268" w:type="dxa"/>
            <w:vAlign w:val="center"/>
          </w:tcPr>
          <w:p w14:paraId="3DC438DE" w14:textId="4E8FD4A0" w:rsidR="00F158F4" w:rsidRPr="00E63DCC" w:rsidRDefault="00FF6DAE" w:rsidP="001A527B">
            <w:pPr>
              <w:pStyle w:val="Tabletext0"/>
              <w:bidi/>
              <w:spacing w:after="0" w:line="240" w:lineRule="auto"/>
              <w:rPr>
                <w:rtl/>
              </w:rPr>
            </w:pPr>
            <w:r>
              <w:rPr>
                <w:rFonts w:hint="cs"/>
                <w:rtl/>
              </w:rPr>
              <w:t>غير متوفرة</w:t>
            </w:r>
          </w:p>
        </w:tc>
      </w:tr>
      <w:tr w:rsidR="001A527B" w:rsidRPr="00E63DCC" w14:paraId="22757BB6" w14:textId="77777777" w:rsidTr="001A527B">
        <w:tc>
          <w:tcPr>
            <w:tcW w:w="3946" w:type="dxa"/>
            <w:vAlign w:val="center"/>
          </w:tcPr>
          <w:p w14:paraId="79013C77" w14:textId="77777777" w:rsidR="00F158F4" w:rsidRPr="00E63DCC" w:rsidRDefault="00F158F4" w:rsidP="001A527B">
            <w:pPr>
              <w:pStyle w:val="Tabletext0"/>
              <w:bidi/>
              <w:spacing w:after="0" w:line="240" w:lineRule="auto"/>
              <w:rPr>
                <w:rtl/>
              </w:rPr>
            </w:pPr>
            <w:r>
              <w:rPr>
                <w:rFonts w:hint="cs"/>
                <w:rtl/>
              </w:rPr>
              <w:t>الأدبيات غير الرسمية</w:t>
            </w:r>
          </w:p>
        </w:tc>
        <w:tc>
          <w:tcPr>
            <w:tcW w:w="3142" w:type="dxa"/>
            <w:vAlign w:val="center"/>
          </w:tcPr>
          <w:p w14:paraId="3F799BAA" w14:textId="77777777" w:rsidR="00F158F4" w:rsidRPr="00E63DCC" w:rsidRDefault="00F158F4" w:rsidP="001A527B">
            <w:pPr>
              <w:pStyle w:val="Tabletext0"/>
              <w:bidi/>
              <w:spacing w:after="0" w:line="240" w:lineRule="auto"/>
              <w:rPr>
                <w:rtl/>
              </w:rPr>
            </w:pPr>
            <w:r>
              <w:rPr>
                <w:rFonts w:hint="cs"/>
                <w:rtl/>
              </w:rPr>
              <w:t>الأدبيات غير الرسمية</w:t>
            </w:r>
          </w:p>
        </w:tc>
        <w:tc>
          <w:tcPr>
            <w:tcW w:w="1560" w:type="dxa"/>
            <w:vAlign w:val="center"/>
          </w:tcPr>
          <w:p w14:paraId="37559B1B" w14:textId="7A4035E6" w:rsidR="00F158F4" w:rsidRPr="00E63DCC" w:rsidRDefault="00FF6DAE" w:rsidP="001A527B">
            <w:pPr>
              <w:pStyle w:val="Tabletext0"/>
              <w:bidi/>
              <w:spacing w:after="0" w:line="240" w:lineRule="auto"/>
              <w:rPr>
                <w:rtl/>
              </w:rPr>
            </w:pPr>
            <w:r>
              <w:rPr>
                <w:rFonts w:hint="cs"/>
                <w:rtl/>
              </w:rPr>
              <w:t>غير متوفرة</w:t>
            </w:r>
          </w:p>
        </w:tc>
        <w:tc>
          <w:tcPr>
            <w:tcW w:w="1984" w:type="dxa"/>
            <w:vMerge/>
            <w:vAlign w:val="center"/>
          </w:tcPr>
          <w:p w14:paraId="6A2C262F" w14:textId="77777777" w:rsidR="00F158F4" w:rsidRPr="00E63DCC" w:rsidRDefault="00F158F4" w:rsidP="001A527B">
            <w:pPr>
              <w:pStyle w:val="Tabletext0"/>
              <w:spacing w:after="0" w:line="240" w:lineRule="auto"/>
            </w:pPr>
          </w:p>
        </w:tc>
        <w:tc>
          <w:tcPr>
            <w:tcW w:w="2552" w:type="dxa"/>
            <w:vAlign w:val="center"/>
          </w:tcPr>
          <w:p w14:paraId="3AC1CEF0" w14:textId="13128630" w:rsidR="00F158F4" w:rsidRPr="00E63DCC" w:rsidRDefault="00FF6DAE" w:rsidP="001A527B">
            <w:pPr>
              <w:pStyle w:val="Tabletext0"/>
              <w:bidi/>
              <w:spacing w:after="0" w:line="240" w:lineRule="auto"/>
              <w:rPr>
                <w:rtl/>
              </w:rPr>
            </w:pPr>
            <w:r>
              <w:rPr>
                <w:rFonts w:hint="cs"/>
                <w:rtl/>
              </w:rPr>
              <w:t>غير متوفرة</w:t>
            </w:r>
          </w:p>
        </w:tc>
        <w:tc>
          <w:tcPr>
            <w:tcW w:w="2268" w:type="dxa"/>
            <w:vAlign w:val="center"/>
          </w:tcPr>
          <w:p w14:paraId="382C9C50" w14:textId="05730FEB" w:rsidR="00F158F4" w:rsidRPr="00E63DCC" w:rsidRDefault="00FF6DAE" w:rsidP="001A527B">
            <w:pPr>
              <w:pStyle w:val="Tabletext0"/>
              <w:bidi/>
              <w:spacing w:after="0" w:line="240" w:lineRule="auto"/>
              <w:rPr>
                <w:rtl/>
              </w:rPr>
            </w:pPr>
            <w:r>
              <w:rPr>
                <w:rFonts w:hint="cs"/>
                <w:rtl/>
              </w:rPr>
              <w:t>غير متوفرة</w:t>
            </w:r>
          </w:p>
        </w:tc>
      </w:tr>
      <w:tr w:rsidR="00D17821" w:rsidRPr="00E63DCC" w14:paraId="78AE29BD" w14:textId="77777777" w:rsidTr="001A527B">
        <w:tc>
          <w:tcPr>
            <w:tcW w:w="15452" w:type="dxa"/>
            <w:gridSpan w:val="6"/>
            <w:shd w:val="clear" w:color="auto" w:fill="FFFF99"/>
            <w:vAlign w:val="center"/>
          </w:tcPr>
          <w:p w14:paraId="1017B602" w14:textId="77777777" w:rsidR="00D17821" w:rsidRPr="00E63DCC" w:rsidRDefault="00D17821" w:rsidP="001A527B">
            <w:pPr>
              <w:pStyle w:val="Tabletext0"/>
              <w:bidi/>
              <w:spacing w:after="0" w:line="240" w:lineRule="auto"/>
              <w:rPr>
                <w:rtl/>
              </w:rPr>
            </w:pPr>
            <w:r>
              <w:rPr>
                <w:rFonts w:hint="cs"/>
                <w:rtl/>
              </w:rPr>
              <w:t>المقابلات مع المبلغين الرئيسيين</w:t>
            </w:r>
          </w:p>
        </w:tc>
      </w:tr>
      <w:tr w:rsidR="00E67AAE" w:rsidRPr="00E63DCC" w14:paraId="10F8B9D5" w14:textId="77777777" w:rsidTr="001A527B">
        <w:tc>
          <w:tcPr>
            <w:tcW w:w="3946" w:type="dxa"/>
            <w:vAlign w:val="center"/>
          </w:tcPr>
          <w:p w14:paraId="4C842EA5" w14:textId="77777777" w:rsidR="00E67AAE" w:rsidRPr="00E63DCC" w:rsidRDefault="00E67AAE" w:rsidP="001A527B">
            <w:pPr>
              <w:pStyle w:val="Tabletext0"/>
              <w:bidi/>
              <w:spacing w:after="0" w:line="240" w:lineRule="auto"/>
              <w:rPr>
                <w:rtl/>
              </w:rPr>
            </w:pPr>
            <w:r>
              <w:rPr>
                <w:rFonts w:hint="cs"/>
                <w:rtl/>
              </w:rPr>
              <w:t>مسؤولو الحكومات المحلية</w:t>
            </w:r>
          </w:p>
        </w:tc>
        <w:tc>
          <w:tcPr>
            <w:tcW w:w="3142" w:type="dxa"/>
            <w:vMerge w:val="restart"/>
            <w:vAlign w:val="center"/>
          </w:tcPr>
          <w:p w14:paraId="05FE5ADE" w14:textId="77777777" w:rsidR="00E67AAE" w:rsidRPr="00E63DCC" w:rsidRDefault="00E67AAE" w:rsidP="001A527B">
            <w:pPr>
              <w:pStyle w:val="Tabletext0"/>
              <w:bidi/>
              <w:spacing w:after="0" w:line="240" w:lineRule="auto"/>
              <w:rPr>
                <w:rtl/>
              </w:rPr>
            </w:pPr>
            <w:r>
              <w:rPr>
                <w:rFonts w:hint="cs"/>
                <w:rtl/>
              </w:rPr>
              <w:t>أداة الاستبيان شبه المنظمة</w:t>
            </w:r>
          </w:p>
        </w:tc>
        <w:tc>
          <w:tcPr>
            <w:tcW w:w="1560" w:type="dxa"/>
            <w:vMerge w:val="restart"/>
            <w:vAlign w:val="center"/>
          </w:tcPr>
          <w:p w14:paraId="09F0B1D8" w14:textId="220E67CE" w:rsidR="00E67AAE" w:rsidRPr="00E63DCC" w:rsidRDefault="00E67AAE">
            <w:pPr>
              <w:pStyle w:val="Tabletext0"/>
              <w:bidi/>
              <w:spacing w:after="0" w:line="240" w:lineRule="auto"/>
              <w:rPr>
                <w:rtl/>
              </w:rPr>
            </w:pPr>
            <w:r>
              <w:rPr>
                <w:rFonts w:hint="cs"/>
                <w:rtl/>
              </w:rPr>
              <w:t>الملحق 6</w:t>
            </w:r>
          </w:p>
        </w:tc>
        <w:tc>
          <w:tcPr>
            <w:tcW w:w="1984" w:type="dxa"/>
            <w:vMerge w:val="restart"/>
            <w:vAlign w:val="center"/>
          </w:tcPr>
          <w:p w14:paraId="71E371F9" w14:textId="77777777" w:rsidR="00E67AAE" w:rsidRPr="00E63DCC" w:rsidRDefault="00E67AAE" w:rsidP="001A527B">
            <w:pPr>
              <w:pStyle w:val="Tabletext0"/>
              <w:bidi/>
              <w:spacing w:after="0" w:line="240" w:lineRule="auto"/>
              <w:rPr>
                <w:rtl/>
              </w:rPr>
            </w:pPr>
            <w:r>
              <w:rPr>
                <w:rFonts w:hint="cs"/>
                <w:rtl/>
              </w:rPr>
              <w:t>نوعي</w:t>
            </w:r>
          </w:p>
        </w:tc>
        <w:tc>
          <w:tcPr>
            <w:tcW w:w="2552" w:type="dxa"/>
            <w:vAlign w:val="center"/>
          </w:tcPr>
          <w:p w14:paraId="3D985ABD" w14:textId="781D718A"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restart"/>
            <w:vAlign w:val="center"/>
          </w:tcPr>
          <w:p w14:paraId="18DDD31D" w14:textId="77777777" w:rsidR="00E67AAE" w:rsidRPr="00E63DCC" w:rsidRDefault="00E67AAE" w:rsidP="001A527B">
            <w:pPr>
              <w:pStyle w:val="Tabletext0"/>
              <w:bidi/>
              <w:spacing w:after="0" w:line="240" w:lineRule="auto"/>
              <w:rPr>
                <w:rtl/>
              </w:rPr>
            </w:pPr>
            <w:r>
              <w:rPr>
                <w:rFonts w:hint="cs"/>
                <w:rtl/>
              </w:rPr>
              <w:t>مصنفة حسب معنى المحتوى والأفكار المتشابهة والتفاعل مع المحتوى</w:t>
            </w:r>
          </w:p>
        </w:tc>
      </w:tr>
      <w:tr w:rsidR="00E67AAE" w:rsidRPr="00E63DCC" w14:paraId="28A741A8" w14:textId="77777777" w:rsidTr="001A527B">
        <w:tc>
          <w:tcPr>
            <w:tcW w:w="3946" w:type="dxa"/>
            <w:vAlign w:val="center"/>
          </w:tcPr>
          <w:p w14:paraId="30FDDFFF" w14:textId="77777777" w:rsidR="00E67AAE" w:rsidRPr="00E63DCC" w:rsidRDefault="00E67AAE" w:rsidP="001A527B">
            <w:pPr>
              <w:pStyle w:val="Tabletext0"/>
              <w:bidi/>
              <w:spacing w:after="0" w:line="240" w:lineRule="auto"/>
              <w:rPr>
                <w:rtl/>
              </w:rPr>
            </w:pPr>
            <w:r>
              <w:rPr>
                <w:rFonts w:hint="cs"/>
                <w:rtl/>
              </w:rPr>
              <w:t>الهيئات الصحية المحلية</w:t>
            </w:r>
          </w:p>
        </w:tc>
        <w:tc>
          <w:tcPr>
            <w:tcW w:w="3142" w:type="dxa"/>
            <w:vMerge/>
            <w:vAlign w:val="center"/>
          </w:tcPr>
          <w:p w14:paraId="1686F548" w14:textId="77777777" w:rsidR="00E67AAE" w:rsidRPr="00E63DCC" w:rsidRDefault="00E67AAE" w:rsidP="001A527B">
            <w:pPr>
              <w:pStyle w:val="Tabletext0"/>
              <w:spacing w:after="0" w:line="240" w:lineRule="auto"/>
            </w:pPr>
          </w:p>
        </w:tc>
        <w:tc>
          <w:tcPr>
            <w:tcW w:w="1560" w:type="dxa"/>
            <w:vMerge/>
            <w:vAlign w:val="center"/>
          </w:tcPr>
          <w:p w14:paraId="527C951C" w14:textId="7F89E1B6" w:rsidR="00E67AAE" w:rsidRPr="00E63DCC" w:rsidRDefault="00E67AAE" w:rsidP="001A527B">
            <w:pPr>
              <w:pStyle w:val="Tabletext0"/>
              <w:spacing w:after="0" w:line="240" w:lineRule="auto"/>
            </w:pPr>
          </w:p>
        </w:tc>
        <w:tc>
          <w:tcPr>
            <w:tcW w:w="1984" w:type="dxa"/>
            <w:vMerge/>
            <w:vAlign w:val="center"/>
          </w:tcPr>
          <w:p w14:paraId="107137BB" w14:textId="77777777" w:rsidR="00E67AAE" w:rsidRPr="00E63DCC" w:rsidRDefault="00E67AAE" w:rsidP="001A527B">
            <w:pPr>
              <w:pStyle w:val="Tabletext0"/>
              <w:spacing w:after="0" w:line="240" w:lineRule="auto"/>
            </w:pPr>
          </w:p>
        </w:tc>
        <w:tc>
          <w:tcPr>
            <w:tcW w:w="2552" w:type="dxa"/>
            <w:vAlign w:val="center"/>
          </w:tcPr>
          <w:p w14:paraId="6273AB44" w14:textId="25AACCE9"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0A7E4199" w14:textId="77777777" w:rsidR="00E67AAE" w:rsidRPr="00E63DCC" w:rsidRDefault="00E67AAE" w:rsidP="001A527B">
            <w:pPr>
              <w:pStyle w:val="Tabletext0"/>
              <w:spacing w:after="0" w:line="240" w:lineRule="auto"/>
            </w:pPr>
          </w:p>
        </w:tc>
      </w:tr>
      <w:tr w:rsidR="00E67AAE" w:rsidRPr="00E63DCC" w14:paraId="4D3F51F2" w14:textId="77777777" w:rsidTr="001A527B">
        <w:tc>
          <w:tcPr>
            <w:tcW w:w="3946" w:type="dxa"/>
            <w:vAlign w:val="center"/>
          </w:tcPr>
          <w:p w14:paraId="338E90EA" w14:textId="77777777" w:rsidR="00E67AAE" w:rsidRPr="00E63DCC" w:rsidRDefault="00E67AAE" w:rsidP="001A527B">
            <w:pPr>
              <w:pStyle w:val="Tabletext0"/>
              <w:bidi/>
              <w:spacing w:after="0" w:line="240" w:lineRule="auto"/>
              <w:rPr>
                <w:rtl/>
              </w:rPr>
            </w:pPr>
            <w:r>
              <w:rPr>
                <w:rFonts w:hint="cs"/>
                <w:rtl/>
              </w:rPr>
              <w:t>الهيئات البيئية (الصحية) المحلية</w:t>
            </w:r>
          </w:p>
        </w:tc>
        <w:tc>
          <w:tcPr>
            <w:tcW w:w="3142" w:type="dxa"/>
            <w:vMerge/>
            <w:vAlign w:val="center"/>
          </w:tcPr>
          <w:p w14:paraId="7F5A3466" w14:textId="77777777" w:rsidR="00E67AAE" w:rsidRPr="00E63DCC" w:rsidRDefault="00E67AAE" w:rsidP="001A527B">
            <w:pPr>
              <w:pStyle w:val="Tabletext0"/>
              <w:spacing w:after="0" w:line="240" w:lineRule="auto"/>
            </w:pPr>
          </w:p>
        </w:tc>
        <w:tc>
          <w:tcPr>
            <w:tcW w:w="1560" w:type="dxa"/>
            <w:vMerge/>
            <w:vAlign w:val="center"/>
          </w:tcPr>
          <w:p w14:paraId="429933A0" w14:textId="67A4F575" w:rsidR="00E67AAE" w:rsidRPr="00E63DCC" w:rsidRDefault="00E67AAE" w:rsidP="001A527B">
            <w:pPr>
              <w:pStyle w:val="Tabletext0"/>
              <w:spacing w:after="0" w:line="240" w:lineRule="auto"/>
            </w:pPr>
          </w:p>
        </w:tc>
        <w:tc>
          <w:tcPr>
            <w:tcW w:w="1984" w:type="dxa"/>
            <w:vMerge/>
            <w:vAlign w:val="center"/>
          </w:tcPr>
          <w:p w14:paraId="0A5E63A9" w14:textId="77777777" w:rsidR="00E67AAE" w:rsidRPr="00E63DCC" w:rsidRDefault="00E67AAE" w:rsidP="001A527B">
            <w:pPr>
              <w:pStyle w:val="Tabletext0"/>
              <w:spacing w:after="0" w:line="240" w:lineRule="auto"/>
            </w:pPr>
          </w:p>
        </w:tc>
        <w:tc>
          <w:tcPr>
            <w:tcW w:w="2552" w:type="dxa"/>
            <w:vAlign w:val="center"/>
          </w:tcPr>
          <w:p w14:paraId="6221F866" w14:textId="308302B6"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4C434F20" w14:textId="77777777" w:rsidR="00E67AAE" w:rsidRPr="00E63DCC" w:rsidRDefault="00E67AAE" w:rsidP="001A527B">
            <w:pPr>
              <w:pStyle w:val="Tabletext0"/>
              <w:spacing w:after="0" w:line="240" w:lineRule="auto"/>
            </w:pPr>
          </w:p>
        </w:tc>
      </w:tr>
      <w:tr w:rsidR="00E67AAE" w:rsidRPr="00E63DCC" w14:paraId="049B63DD" w14:textId="77777777" w:rsidTr="001A527B">
        <w:tc>
          <w:tcPr>
            <w:tcW w:w="3946" w:type="dxa"/>
            <w:vAlign w:val="center"/>
          </w:tcPr>
          <w:p w14:paraId="11378A28" w14:textId="77777777" w:rsidR="00E67AAE" w:rsidRPr="00E63DCC" w:rsidRDefault="00E67AAE" w:rsidP="001A527B">
            <w:pPr>
              <w:pStyle w:val="Tabletext0"/>
              <w:bidi/>
              <w:spacing w:after="0" w:line="240" w:lineRule="auto"/>
              <w:rPr>
                <w:rtl/>
              </w:rPr>
            </w:pPr>
            <w:r>
              <w:rPr>
                <w:rFonts w:hint="cs"/>
                <w:rtl/>
              </w:rPr>
              <w:t>مقدمو الرعاية الصحية المحليون</w:t>
            </w:r>
          </w:p>
        </w:tc>
        <w:tc>
          <w:tcPr>
            <w:tcW w:w="3142" w:type="dxa"/>
            <w:vMerge/>
            <w:vAlign w:val="center"/>
          </w:tcPr>
          <w:p w14:paraId="1ABBE0D3" w14:textId="77777777" w:rsidR="00E67AAE" w:rsidRPr="00E63DCC" w:rsidRDefault="00E67AAE" w:rsidP="001A527B">
            <w:pPr>
              <w:pStyle w:val="Tabletext0"/>
              <w:spacing w:after="0" w:line="240" w:lineRule="auto"/>
            </w:pPr>
          </w:p>
        </w:tc>
        <w:tc>
          <w:tcPr>
            <w:tcW w:w="1560" w:type="dxa"/>
            <w:vMerge/>
            <w:vAlign w:val="center"/>
          </w:tcPr>
          <w:p w14:paraId="34ACAC49" w14:textId="3E696A89" w:rsidR="00E67AAE" w:rsidRPr="00E63DCC" w:rsidRDefault="00E67AAE" w:rsidP="001A527B">
            <w:pPr>
              <w:pStyle w:val="Tabletext0"/>
              <w:spacing w:after="0" w:line="240" w:lineRule="auto"/>
            </w:pPr>
          </w:p>
        </w:tc>
        <w:tc>
          <w:tcPr>
            <w:tcW w:w="1984" w:type="dxa"/>
            <w:vMerge/>
            <w:vAlign w:val="center"/>
          </w:tcPr>
          <w:p w14:paraId="5F5A37BF" w14:textId="77777777" w:rsidR="00E67AAE" w:rsidRPr="00E63DCC" w:rsidRDefault="00E67AAE" w:rsidP="001A527B">
            <w:pPr>
              <w:pStyle w:val="Tabletext0"/>
              <w:spacing w:after="0" w:line="240" w:lineRule="auto"/>
            </w:pPr>
          </w:p>
        </w:tc>
        <w:tc>
          <w:tcPr>
            <w:tcW w:w="2552" w:type="dxa"/>
            <w:vAlign w:val="center"/>
          </w:tcPr>
          <w:p w14:paraId="23198250" w14:textId="15E86A57"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24A90E6E" w14:textId="77777777" w:rsidR="00E67AAE" w:rsidRPr="00E63DCC" w:rsidRDefault="00E67AAE" w:rsidP="001A527B">
            <w:pPr>
              <w:pStyle w:val="Tabletext0"/>
              <w:spacing w:after="0" w:line="240" w:lineRule="auto"/>
            </w:pPr>
          </w:p>
        </w:tc>
      </w:tr>
      <w:tr w:rsidR="00E67AAE" w:rsidRPr="00E63DCC" w14:paraId="4CD5B8AB" w14:textId="77777777" w:rsidTr="001A527B">
        <w:tc>
          <w:tcPr>
            <w:tcW w:w="3946" w:type="dxa"/>
            <w:vAlign w:val="center"/>
          </w:tcPr>
          <w:p w14:paraId="5852B6DA" w14:textId="77777777" w:rsidR="00E67AAE" w:rsidRPr="00E63DCC" w:rsidRDefault="00E67AAE" w:rsidP="001A527B">
            <w:pPr>
              <w:pStyle w:val="Tabletext0"/>
              <w:bidi/>
              <w:spacing w:after="0" w:line="240" w:lineRule="auto"/>
              <w:rPr>
                <w:rtl/>
              </w:rPr>
            </w:pPr>
            <w:r>
              <w:rPr>
                <w:rFonts w:hint="cs"/>
                <w:rtl/>
              </w:rPr>
              <w:t>زعماء المجتمع</w:t>
            </w:r>
          </w:p>
        </w:tc>
        <w:tc>
          <w:tcPr>
            <w:tcW w:w="3142" w:type="dxa"/>
            <w:vMerge/>
            <w:vAlign w:val="center"/>
          </w:tcPr>
          <w:p w14:paraId="783DB16B" w14:textId="77777777" w:rsidR="00E67AAE" w:rsidRPr="00E63DCC" w:rsidRDefault="00E67AAE" w:rsidP="001A527B">
            <w:pPr>
              <w:pStyle w:val="Tabletext0"/>
              <w:spacing w:after="0" w:line="240" w:lineRule="auto"/>
            </w:pPr>
          </w:p>
        </w:tc>
        <w:tc>
          <w:tcPr>
            <w:tcW w:w="1560" w:type="dxa"/>
            <w:vMerge/>
            <w:vAlign w:val="center"/>
          </w:tcPr>
          <w:p w14:paraId="71CC491C" w14:textId="6D28EC39" w:rsidR="00E67AAE" w:rsidRPr="00E63DCC" w:rsidRDefault="00E67AAE" w:rsidP="001A527B">
            <w:pPr>
              <w:pStyle w:val="Tabletext0"/>
              <w:spacing w:after="0" w:line="240" w:lineRule="auto"/>
            </w:pPr>
          </w:p>
        </w:tc>
        <w:tc>
          <w:tcPr>
            <w:tcW w:w="1984" w:type="dxa"/>
            <w:vMerge/>
            <w:vAlign w:val="center"/>
          </w:tcPr>
          <w:p w14:paraId="451D9F19" w14:textId="77777777" w:rsidR="00E67AAE" w:rsidRPr="00E63DCC" w:rsidRDefault="00E67AAE" w:rsidP="001A527B">
            <w:pPr>
              <w:pStyle w:val="Tabletext0"/>
              <w:spacing w:after="0" w:line="240" w:lineRule="auto"/>
            </w:pPr>
          </w:p>
        </w:tc>
        <w:tc>
          <w:tcPr>
            <w:tcW w:w="2552" w:type="dxa"/>
            <w:vAlign w:val="center"/>
          </w:tcPr>
          <w:p w14:paraId="1C6D5987" w14:textId="59EB2740"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2A10428C" w14:textId="77777777" w:rsidR="00E67AAE" w:rsidRPr="00E63DCC" w:rsidRDefault="00E67AAE" w:rsidP="001A527B">
            <w:pPr>
              <w:pStyle w:val="Tabletext0"/>
              <w:spacing w:after="0" w:line="240" w:lineRule="auto"/>
            </w:pPr>
          </w:p>
        </w:tc>
      </w:tr>
      <w:tr w:rsidR="00E67AAE" w:rsidRPr="00E63DCC" w14:paraId="72C2C7B2" w14:textId="77777777" w:rsidTr="001A527B">
        <w:tc>
          <w:tcPr>
            <w:tcW w:w="3946" w:type="dxa"/>
            <w:vAlign w:val="center"/>
          </w:tcPr>
          <w:p w14:paraId="3E1A60B9" w14:textId="06588C76" w:rsidR="00E67AAE" w:rsidRPr="00E63DCC" w:rsidRDefault="00E67AAE" w:rsidP="001A527B">
            <w:pPr>
              <w:pStyle w:val="Tabletext0"/>
              <w:bidi/>
              <w:spacing w:after="0" w:line="240" w:lineRule="auto"/>
              <w:rPr>
                <w:rtl/>
              </w:rPr>
            </w:pPr>
            <w:r>
              <w:rPr>
                <w:rFonts w:hint="cs"/>
                <w:rtl/>
              </w:rPr>
              <w:t>زعماء مجتمع تعدين الذهب الحرفي والضيق النطاق</w:t>
            </w:r>
          </w:p>
        </w:tc>
        <w:tc>
          <w:tcPr>
            <w:tcW w:w="3142" w:type="dxa"/>
            <w:vMerge/>
            <w:vAlign w:val="center"/>
          </w:tcPr>
          <w:p w14:paraId="14FD6291" w14:textId="77777777" w:rsidR="00E67AAE" w:rsidRPr="00E63DCC" w:rsidRDefault="00E67AAE" w:rsidP="001A527B">
            <w:pPr>
              <w:pStyle w:val="Tabletext0"/>
              <w:spacing w:after="0" w:line="240" w:lineRule="auto"/>
            </w:pPr>
          </w:p>
        </w:tc>
        <w:tc>
          <w:tcPr>
            <w:tcW w:w="1560" w:type="dxa"/>
            <w:vMerge/>
            <w:vAlign w:val="center"/>
          </w:tcPr>
          <w:p w14:paraId="57BB017B" w14:textId="55FB3A78" w:rsidR="00E67AAE" w:rsidRPr="00E63DCC" w:rsidRDefault="00E67AAE" w:rsidP="001A527B">
            <w:pPr>
              <w:pStyle w:val="Tabletext0"/>
              <w:spacing w:after="0" w:line="240" w:lineRule="auto"/>
            </w:pPr>
          </w:p>
        </w:tc>
        <w:tc>
          <w:tcPr>
            <w:tcW w:w="1984" w:type="dxa"/>
            <w:vMerge/>
            <w:vAlign w:val="center"/>
          </w:tcPr>
          <w:p w14:paraId="3C34BD5A" w14:textId="77777777" w:rsidR="00E67AAE" w:rsidRPr="00E63DCC" w:rsidRDefault="00E67AAE" w:rsidP="001A527B">
            <w:pPr>
              <w:pStyle w:val="Tabletext0"/>
              <w:spacing w:after="0" w:line="240" w:lineRule="auto"/>
            </w:pPr>
          </w:p>
        </w:tc>
        <w:tc>
          <w:tcPr>
            <w:tcW w:w="2552" w:type="dxa"/>
            <w:vAlign w:val="center"/>
          </w:tcPr>
          <w:p w14:paraId="4E50EE3A" w14:textId="08226E4A"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11CFFA52" w14:textId="77777777" w:rsidR="00E67AAE" w:rsidRPr="00E63DCC" w:rsidRDefault="00E67AAE" w:rsidP="001A527B">
            <w:pPr>
              <w:pStyle w:val="Tabletext0"/>
              <w:spacing w:after="0" w:line="240" w:lineRule="auto"/>
            </w:pPr>
          </w:p>
        </w:tc>
      </w:tr>
      <w:tr w:rsidR="00E67AAE" w:rsidRPr="00E63DCC" w14:paraId="01617D6C" w14:textId="77777777" w:rsidTr="001A527B">
        <w:tc>
          <w:tcPr>
            <w:tcW w:w="3946" w:type="dxa"/>
            <w:vAlign w:val="center"/>
          </w:tcPr>
          <w:p w14:paraId="3573E270" w14:textId="4DDC4D94" w:rsidR="00E67AAE" w:rsidRPr="00E63DCC" w:rsidRDefault="00E67AAE" w:rsidP="001A527B">
            <w:pPr>
              <w:pStyle w:val="Tabletext0"/>
              <w:bidi/>
              <w:spacing w:after="0" w:line="240" w:lineRule="auto"/>
              <w:rPr>
                <w:rtl/>
              </w:rPr>
            </w:pPr>
            <w:r>
              <w:rPr>
                <w:rFonts w:hint="cs"/>
                <w:rtl/>
              </w:rPr>
              <w:t>منظمات المجتمع المدني</w:t>
            </w:r>
          </w:p>
        </w:tc>
        <w:tc>
          <w:tcPr>
            <w:tcW w:w="3142" w:type="dxa"/>
            <w:vMerge/>
            <w:vAlign w:val="center"/>
          </w:tcPr>
          <w:p w14:paraId="39C2B662" w14:textId="77777777" w:rsidR="00E67AAE" w:rsidRPr="00E63DCC" w:rsidRDefault="00E67AAE" w:rsidP="001A527B">
            <w:pPr>
              <w:pStyle w:val="Tabletext0"/>
              <w:spacing w:after="0" w:line="240" w:lineRule="auto"/>
            </w:pPr>
          </w:p>
        </w:tc>
        <w:tc>
          <w:tcPr>
            <w:tcW w:w="1560" w:type="dxa"/>
            <w:vMerge/>
            <w:vAlign w:val="center"/>
          </w:tcPr>
          <w:p w14:paraId="7DDBA351" w14:textId="21FEFFDD" w:rsidR="00E67AAE" w:rsidRPr="00E63DCC" w:rsidRDefault="00E67AAE" w:rsidP="001A527B">
            <w:pPr>
              <w:pStyle w:val="Tabletext0"/>
              <w:spacing w:after="0" w:line="240" w:lineRule="auto"/>
            </w:pPr>
          </w:p>
        </w:tc>
        <w:tc>
          <w:tcPr>
            <w:tcW w:w="1984" w:type="dxa"/>
            <w:vMerge/>
            <w:vAlign w:val="center"/>
          </w:tcPr>
          <w:p w14:paraId="6E1552D5" w14:textId="77777777" w:rsidR="00E67AAE" w:rsidRPr="00E63DCC" w:rsidRDefault="00E67AAE" w:rsidP="001A527B">
            <w:pPr>
              <w:pStyle w:val="Tabletext0"/>
              <w:spacing w:after="0" w:line="240" w:lineRule="auto"/>
            </w:pPr>
          </w:p>
        </w:tc>
        <w:tc>
          <w:tcPr>
            <w:tcW w:w="2552" w:type="dxa"/>
            <w:vAlign w:val="center"/>
          </w:tcPr>
          <w:p w14:paraId="4317B1AF" w14:textId="65FF0BCD"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7F086D99" w14:textId="77777777" w:rsidR="00E67AAE" w:rsidRPr="00E63DCC" w:rsidRDefault="00E67AAE" w:rsidP="001A527B">
            <w:pPr>
              <w:pStyle w:val="Tabletext0"/>
              <w:spacing w:after="0" w:line="240" w:lineRule="auto"/>
            </w:pPr>
          </w:p>
        </w:tc>
      </w:tr>
      <w:tr w:rsidR="00F158F4" w:rsidRPr="00E63DCC" w14:paraId="1084D11A" w14:textId="77777777" w:rsidTr="001A527B">
        <w:tc>
          <w:tcPr>
            <w:tcW w:w="15452" w:type="dxa"/>
            <w:gridSpan w:val="6"/>
            <w:shd w:val="clear" w:color="auto" w:fill="FFFF99"/>
            <w:vAlign w:val="center"/>
          </w:tcPr>
          <w:p w14:paraId="14154F03" w14:textId="77777777" w:rsidR="00F158F4" w:rsidRPr="00E63DCC" w:rsidRDefault="00F158F4" w:rsidP="001A527B">
            <w:pPr>
              <w:pStyle w:val="Tabletext0"/>
              <w:bidi/>
              <w:spacing w:after="0" w:line="240" w:lineRule="auto"/>
              <w:rPr>
                <w:rtl/>
              </w:rPr>
            </w:pPr>
            <w:r>
              <w:rPr>
                <w:rFonts w:hint="cs"/>
                <w:rtl/>
              </w:rPr>
              <w:t>مناقشات مجموعات التركيز</w:t>
            </w:r>
          </w:p>
        </w:tc>
      </w:tr>
      <w:tr w:rsidR="00E67AAE" w:rsidRPr="00E63DCC" w14:paraId="5D34FCC1" w14:textId="77777777" w:rsidTr="001A527B">
        <w:tc>
          <w:tcPr>
            <w:tcW w:w="3946" w:type="dxa"/>
            <w:vAlign w:val="center"/>
          </w:tcPr>
          <w:p w14:paraId="52569B76" w14:textId="77777777" w:rsidR="00E67AAE" w:rsidRPr="00E63DCC" w:rsidRDefault="00E67AAE" w:rsidP="001A527B">
            <w:pPr>
              <w:pStyle w:val="Tabletext0"/>
              <w:bidi/>
              <w:spacing w:after="0" w:line="240" w:lineRule="auto"/>
              <w:rPr>
                <w:rtl/>
              </w:rPr>
            </w:pPr>
            <w:r>
              <w:rPr>
                <w:rFonts w:hint="cs"/>
                <w:rtl/>
              </w:rPr>
              <w:t>عمال التعدين</w:t>
            </w:r>
          </w:p>
        </w:tc>
        <w:tc>
          <w:tcPr>
            <w:tcW w:w="3142" w:type="dxa"/>
            <w:vMerge w:val="restart"/>
            <w:vAlign w:val="center"/>
          </w:tcPr>
          <w:p w14:paraId="5F96EB39" w14:textId="77777777" w:rsidR="00E67AAE" w:rsidRPr="00E63DCC" w:rsidRDefault="00E67AAE" w:rsidP="001A527B">
            <w:pPr>
              <w:pStyle w:val="Tabletext0"/>
              <w:bidi/>
              <w:spacing w:after="0" w:line="240" w:lineRule="auto"/>
              <w:rPr>
                <w:rtl/>
              </w:rPr>
            </w:pPr>
            <w:r>
              <w:rPr>
                <w:rFonts w:hint="cs"/>
                <w:rtl/>
              </w:rPr>
              <w:t>مسار الأسئلة غير محددة الإجابة</w:t>
            </w:r>
          </w:p>
        </w:tc>
        <w:tc>
          <w:tcPr>
            <w:tcW w:w="1560" w:type="dxa"/>
            <w:vMerge w:val="restart"/>
            <w:vAlign w:val="center"/>
          </w:tcPr>
          <w:p w14:paraId="3BCADAB3" w14:textId="1DB1040F" w:rsidR="00E67AAE" w:rsidRPr="00E63DCC" w:rsidRDefault="00E67AAE">
            <w:pPr>
              <w:pStyle w:val="Tabletext0"/>
              <w:bidi/>
              <w:spacing w:after="0" w:line="240" w:lineRule="auto"/>
              <w:rPr>
                <w:rtl/>
              </w:rPr>
            </w:pPr>
            <w:r>
              <w:rPr>
                <w:rFonts w:hint="cs"/>
                <w:rtl/>
              </w:rPr>
              <w:t>الملحق 7</w:t>
            </w:r>
          </w:p>
        </w:tc>
        <w:tc>
          <w:tcPr>
            <w:tcW w:w="1984" w:type="dxa"/>
            <w:vMerge w:val="restart"/>
            <w:vAlign w:val="center"/>
          </w:tcPr>
          <w:p w14:paraId="7034DB91" w14:textId="77777777" w:rsidR="00E67AAE" w:rsidRPr="00E63DCC" w:rsidRDefault="00E67AAE" w:rsidP="001A527B">
            <w:pPr>
              <w:pStyle w:val="Tabletext0"/>
              <w:bidi/>
              <w:spacing w:after="0" w:line="240" w:lineRule="auto"/>
              <w:rPr>
                <w:rtl/>
              </w:rPr>
            </w:pPr>
            <w:r>
              <w:rPr>
                <w:rFonts w:hint="cs"/>
                <w:rtl/>
              </w:rPr>
              <w:t>نوعي</w:t>
            </w:r>
          </w:p>
        </w:tc>
        <w:tc>
          <w:tcPr>
            <w:tcW w:w="2552" w:type="dxa"/>
            <w:vAlign w:val="center"/>
          </w:tcPr>
          <w:p w14:paraId="36D84203" w14:textId="1CE298A5"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restart"/>
            <w:vAlign w:val="center"/>
          </w:tcPr>
          <w:p w14:paraId="21693C24" w14:textId="77777777" w:rsidR="00E67AAE" w:rsidRPr="00E63DCC" w:rsidRDefault="00E67AAE" w:rsidP="001A527B">
            <w:pPr>
              <w:pStyle w:val="Tabletext0"/>
              <w:bidi/>
              <w:spacing w:after="0" w:line="240" w:lineRule="auto"/>
              <w:rPr>
                <w:rtl/>
              </w:rPr>
            </w:pPr>
            <w:r>
              <w:rPr>
                <w:rFonts w:hint="cs"/>
                <w:rtl/>
              </w:rPr>
              <w:t>مصنفة حسب معنى المحتوى والأفكار المتشابهة والتفاعل مع المحتوى</w:t>
            </w:r>
          </w:p>
        </w:tc>
      </w:tr>
      <w:tr w:rsidR="00E67AAE" w:rsidRPr="00E63DCC" w14:paraId="0EE23D6C" w14:textId="77777777" w:rsidTr="001A527B">
        <w:tc>
          <w:tcPr>
            <w:tcW w:w="3946" w:type="dxa"/>
            <w:vAlign w:val="center"/>
          </w:tcPr>
          <w:p w14:paraId="54D1637C" w14:textId="77777777" w:rsidR="00E67AAE" w:rsidRPr="00E63DCC" w:rsidRDefault="00E67AAE" w:rsidP="001A527B">
            <w:pPr>
              <w:pStyle w:val="Tabletext0"/>
              <w:bidi/>
              <w:spacing w:after="0" w:line="240" w:lineRule="auto"/>
              <w:rPr>
                <w:rtl/>
              </w:rPr>
            </w:pPr>
            <w:r>
              <w:rPr>
                <w:rFonts w:hint="cs"/>
                <w:rtl/>
              </w:rPr>
              <w:t>أفراد أسر عمال التعدين</w:t>
            </w:r>
          </w:p>
        </w:tc>
        <w:tc>
          <w:tcPr>
            <w:tcW w:w="3142" w:type="dxa"/>
            <w:vMerge/>
            <w:vAlign w:val="center"/>
          </w:tcPr>
          <w:p w14:paraId="7FE2710C" w14:textId="77777777" w:rsidR="00E67AAE" w:rsidRPr="00E63DCC" w:rsidRDefault="00E67AAE" w:rsidP="001A527B">
            <w:pPr>
              <w:pStyle w:val="Tabletext0"/>
              <w:spacing w:after="0" w:line="240" w:lineRule="auto"/>
            </w:pPr>
          </w:p>
        </w:tc>
        <w:tc>
          <w:tcPr>
            <w:tcW w:w="1560" w:type="dxa"/>
            <w:vMerge/>
            <w:vAlign w:val="center"/>
          </w:tcPr>
          <w:p w14:paraId="2D17D3DE" w14:textId="111EFC5B" w:rsidR="00E67AAE" w:rsidRPr="00E63DCC" w:rsidRDefault="00E67AAE" w:rsidP="00B56BC5">
            <w:pPr>
              <w:pStyle w:val="Tabletext0"/>
              <w:spacing w:after="0" w:line="240" w:lineRule="auto"/>
            </w:pPr>
          </w:p>
        </w:tc>
        <w:tc>
          <w:tcPr>
            <w:tcW w:w="1984" w:type="dxa"/>
            <w:vMerge/>
            <w:vAlign w:val="center"/>
          </w:tcPr>
          <w:p w14:paraId="0627C4E4" w14:textId="77777777" w:rsidR="00E67AAE" w:rsidRPr="00E63DCC" w:rsidRDefault="00E67AAE" w:rsidP="001A527B">
            <w:pPr>
              <w:pStyle w:val="Tabletext0"/>
              <w:spacing w:after="0" w:line="240" w:lineRule="auto"/>
            </w:pPr>
          </w:p>
        </w:tc>
        <w:tc>
          <w:tcPr>
            <w:tcW w:w="2552" w:type="dxa"/>
            <w:vAlign w:val="center"/>
          </w:tcPr>
          <w:p w14:paraId="3EB91F1E" w14:textId="2DC6A399"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5EEB95E4" w14:textId="77777777" w:rsidR="00E67AAE" w:rsidRPr="00E63DCC" w:rsidRDefault="00E67AAE" w:rsidP="001A527B">
            <w:pPr>
              <w:pStyle w:val="Tabletext0"/>
              <w:spacing w:after="0" w:line="240" w:lineRule="auto"/>
            </w:pPr>
          </w:p>
        </w:tc>
      </w:tr>
      <w:tr w:rsidR="00E67AAE" w:rsidRPr="00E63DCC" w14:paraId="7898E426" w14:textId="77777777" w:rsidTr="001A527B">
        <w:tc>
          <w:tcPr>
            <w:tcW w:w="3946" w:type="dxa"/>
            <w:vAlign w:val="center"/>
          </w:tcPr>
          <w:p w14:paraId="185B19CD" w14:textId="77777777" w:rsidR="00E67AAE" w:rsidRPr="00E63DCC" w:rsidRDefault="00E67AAE" w:rsidP="001A527B">
            <w:pPr>
              <w:pStyle w:val="Tabletext0"/>
              <w:bidi/>
              <w:spacing w:after="0" w:line="240" w:lineRule="auto"/>
              <w:rPr>
                <w:rtl/>
              </w:rPr>
            </w:pPr>
            <w:r>
              <w:rPr>
                <w:rFonts w:hint="cs"/>
                <w:rtl/>
              </w:rPr>
              <w:t>المجتمعات المحيطة بتعدين الذهب الحرفي والضيق النطاق</w:t>
            </w:r>
          </w:p>
        </w:tc>
        <w:tc>
          <w:tcPr>
            <w:tcW w:w="3142" w:type="dxa"/>
            <w:vMerge/>
            <w:vAlign w:val="center"/>
          </w:tcPr>
          <w:p w14:paraId="79F97E79" w14:textId="77777777" w:rsidR="00E67AAE" w:rsidRPr="00E63DCC" w:rsidRDefault="00E67AAE" w:rsidP="001A527B">
            <w:pPr>
              <w:pStyle w:val="Tabletext0"/>
              <w:spacing w:after="0" w:line="240" w:lineRule="auto"/>
            </w:pPr>
          </w:p>
        </w:tc>
        <w:tc>
          <w:tcPr>
            <w:tcW w:w="1560" w:type="dxa"/>
            <w:vMerge/>
            <w:vAlign w:val="center"/>
          </w:tcPr>
          <w:p w14:paraId="7375E037" w14:textId="6CC3FA95" w:rsidR="00E67AAE" w:rsidRPr="00E63DCC" w:rsidRDefault="00E67AAE" w:rsidP="00B56BC5">
            <w:pPr>
              <w:pStyle w:val="Tabletext0"/>
              <w:spacing w:after="0" w:line="240" w:lineRule="auto"/>
            </w:pPr>
          </w:p>
        </w:tc>
        <w:tc>
          <w:tcPr>
            <w:tcW w:w="1984" w:type="dxa"/>
            <w:vMerge/>
            <w:vAlign w:val="center"/>
          </w:tcPr>
          <w:p w14:paraId="0C278C5A" w14:textId="77777777" w:rsidR="00E67AAE" w:rsidRPr="00E63DCC" w:rsidRDefault="00E67AAE" w:rsidP="001A527B">
            <w:pPr>
              <w:pStyle w:val="Tabletext0"/>
              <w:spacing w:after="0" w:line="240" w:lineRule="auto"/>
            </w:pPr>
          </w:p>
        </w:tc>
        <w:tc>
          <w:tcPr>
            <w:tcW w:w="2552" w:type="dxa"/>
            <w:vAlign w:val="center"/>
          </w:tcPr>
          <w:p w14:paraId="64402199" w14:textId="21181A46" w:rsidR="00E67AAE" w:rsidRPr="00E63DCC" w:rsidRDefault="00E67AAE"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Merge/>
            <w:vAlign w:val="center"/>
          </w:tcPr>
          <w:p w14:paraId="0B55E0AC" w14:textId="77777777" w:rsidR="00E67AAE" w:rsidRPr="00E63DCC" w:rsidRDefault="00E67AAE" w:rsidP="001A527B">
            <w:pPr>
              <w:pStyle w:val="Tabletext0"/>
              <w:spacing w:after="0" w:line="240" w:lineRule="auto"/>
            </w:pPr>
          </w:p>
        </w:tc>
      </w:tr>
      <w:tr w:rsidR="00F158F4" w:rsidRPr="00E63DCC" w14:paraId="60B48E4D" w14:textId="77777777" w:rsidTr="001A527B">
        <w:tc>
          <w:tcPr>
            <w:tcW w:w="15452" w:type="dxa"/>
            <w:gridSpan w:val="6"/>
            <w:shd w:val="clear" w:color="auto" w:fill="FFFF99"/>
            <w:vAlign w:val="center"/>
          </w:tcPr>
          <w:p w14:paraId="1C757274" w14:textId="77777777" w:rsidR="00F158F4" w:rsidRPr="00E63DCC" w:rsidRDefault="00F158F4" w:rsidP="001A527B">
            <w:pPr>
              <w:pStyle w:val="Tabletext0"/>
              <w:bidi/>
              <w:spacing w:after="0" w:line="240" w:lineRule="auto"/>
              <w:rPr>
                <w:rtl/>
              </w:rPr>
            </w:pPr>
            <w:r>
              <w:rPr>
                <w:rFonts w:hint="cs"/>
                <w:rtl/>
              </w:rPr>
              <w:t>تقييمات المنشآت الصحية</w:t>
            </w:r>
          </w:p>
        </w:tc>
      </w:tr>
      <w:tr w:rsidR="001A527B" w:rsidRPr="00E63DCC" w14:paraId="1120CC4C" w14:textId="77777777" w:rsidTr="001A527B">
        <w:tc>
          <w:tcPr>
            <w:tcW w:w="3946" w:type="dxa"/>
            <w:vAlign w:val="center"/>
          </w:tcPr>
          <w:p w14:paraId="09C408BA" w14:textId="77777777" w:rsidR="00F158F4" w:rsidRPr="00E63DCC" w:rsidRDefault="00F158F4" w:rsidP="001A527B">
            <w:pPr>
              <w:pStyle w:val="Tabletext0"/>
              <w:bidi/>
              <w:spacing w:after="0" w:line="240" w:lineRule="auto"/>
              <w:rPr>
                <w:rtl/>
              </w:rPr>
            </w:pPr>
            <w:r>
              <w:rPr>
                <w:rFonts w:hint="cs"/>
                <w:rtl/>
              </w:rPr>
              <w:t>تقييم المنشأة الصحية</w:t>
            </w:r>
          </w:p>
        </w:tc>
        <w:tc>
          <w:tcPr>
            <w:tcW w:w="3142" w:type="dxa"/>
            <w:vAlign w:val="center"/>
          </w:tcPr>
          <w:p w14:paraId="408F7880" w14:textId="30DF84F4" w:rsidR="00F158F4" w:rsidRPr="00E63DCC" w:rsidRDefault="009C5D19" w:rsidP="001A527B">
            <w:pPr>
              <w:pStyle w:val="Tabletext0"/>
              <w:bidi/>
              <w:spacing w:after="0" w:line="240" w:lineRule="auto"/>
              <w:rPr>
                <w:rtl/>
              </w:rPr>
            </w:pPr>
            <w:r>
              <w:rPr>
                <w:rFonts w:hint="cs"/>
                <w:rtl/>
              </w:rPr>
              <w:t>استبيان تقييم المنشآت الصحية وأداته</w:t>
            </w:r>
          </w:p>
        </w:tc>
        <w:tc>
          <w:tcPr>
            <w:tcW w:w="1560" w:type="dxa"/>
            <w:vAlign w:val="center"/>
          </w:tcPr>
          <w:p w14:paraId="5B0E916D" w14:textId="2AF56C19" w:rsidR="00F158F4" w:rsidRPr="00E63DCC" w:rsidRDefault="00F158F4" w:rsidP="00B56BC5">
            <w:pPr>
              <w:pStyle w:val="Tabletext0"/>
              <w:bidi/>
              <w:spacing w:after="0" w:line="240" w:lineRule="auto"/>
              <w:rPr>
                <w:rtl/>
              </w:rPr>
            </w:pPr>
            <w:r>
              <w:rPr>
                <w:rFonts w:hint="cs"/>
                <w:rtl/>
              </w:rPr>
              <w:t>الملحق 9</w:t>
            </w:r>
          </w:p>
        </w:tc>
        <w:tc>
          <w:tcPr>
            <w:tcW w:w="1984" w:type="dxa"/>
            <w:vAlign w:val="center"/>
          </w:tcPr>
          <w:p w14:paraId="58EDF503" w14:textId="77777777" w:rsidR="00F158F4" w:rsidRPr="00E63DCC" w:rsidRDefault="00F158F4" w:rsidP="001A527B">
            <w:pPr>
              <w:pStyle w:val="Tabletext0"/>
              <w:bidi/>
              <w:spacing w:after="0" w:line="240" w:lineRule="auto"/>
              <w:rPr>
                <w:rtl/>
              </w:rPr>
            </w:pPr>
            <w:r>
              <w:rPr>
                <w:rFonts w:hint="cs"/>
                <w:rtl/>
              </w:rPr>
              <w:t>في الغالب كمي</w:t>
            </w:r>
          </w:p>
        </w:tc>
        <w:tc>
          <w:tcPr>
            <w:tcW w:w="2552" w:type="dxa"/>
            <w:vAlign w:val="center"/>
          </w:tcPr>
          <w:p w14:paraId="3BDD5BF1" w14:textId="4F31F7AF" w:rsidR="00F158F4" w:rsidRPr="00E63DCC" w:rsidRDefault="00763EDB" w:rsidP="001A527B">
            <w:pPr>
              <w:pStyle w:val="Tabletext0"/>
              <w:bidi/>
              <w:spacing w:after="0" w:line="240" w:lineRule="auto"/>
              <w:rPr>
                <w:rtl/>
              </w:rPr>
            </w:pPr>
            <w:r>
              <w:rPr>
                <w:rFonts w:hint="cs"/>
                <w:rtl/>
              </w:rPr>
              <w:t>[</w:t>
            </w:r>
            <w:r>
              <w:t>X</w:t>
            </w:r>
            <w:r>
              <w:rPr>
                <w:rFonts w:hint="cs"/>
                <w:rtl/>
              </w:rPr>
              <w:t xml:space="preserve">] لكل موقع (الإجمالي </w:t>
            </w:r>
            <w:r>
              <w:t>[X])</w:t>
            </w:r>
          </w:p>
        </w:tc>
        <w:tc>
          <w:tcPr>
            <w:tcW w:w="2268" w:type="dxa"/>
            <w:vAlign w:val="center"/>
          </w:tcPr>
          <w:p w14:paraId="361CFCF3" w14:textId="77777777" w:rsidR="00F158F4" w:rsidRPr="00E63DCC" w:rsidRDefault="00F158F4" w:rsidP="001A527B">
            <w:pPr>
              <w:pStyle w:val="Tabletext0"/>
              <w:bidi/>
              <w:spacing w:after="0" w:line="240" w:lineRule="auto"/>
              <w:rPr>
                <w:rtl/>
              </w:rPr>
            </w:pPr>
            <w:r>
              <w:rPr>
                <w:rFonts w:hint="cs"/>
                <w:rtl/>
              </w:rPr>
              <w:t>وصفي</w:t>
            </w:r>
          </w:p>
        </w:tc>
      </w:tr>
      <w:tr w:rsidR="001A527B" w:rsidRPr="00E63DCC" w14:paraId="4ABB0EF0" w14:textId="77777777" w:rsidTr="001A527B">
        <w:tc>
          <w:tcPr>
            <w:tcW w:w="3946" w:type="dxa"/>
            <w:vAlign w:val="center"/>
          </w:tcPr>
          <w:p w14:paraId="324A472B" w14:textId="77777777" w:rsidR="00F158F4" w:rsidRPr="00E63DCC" w:rsidRDefault="00F158F4" w:rsidP="001A527B">
            <w:pPr>
              <w:pStyle w:val="Tabletext0"/>
              <w:bidi/>
              <w:spacing w:after="0" w:line="240" w:lineRule="auto"/>
              <w:rPr>
                <w:rtl/>
              </w:rPr>
            </w:pPr>
            <w:r>
              <w:rPr>
                <w:rFonts w:hint="cs"/>
                <w:rtl/>
              </w:rPr>
              <w:t>الإحصاءات الصحية المحلية</w:t>
            </w:r>
          </w:p>
        </w:tc>
        <w:tc>
          <w:tcPr>
            <w:tcW w:w="3142" w:type="dxa"/>
            <w:vAlign w:val="center"/>
          </w:tcPr>
          <w:p w14:paraId="66990201" w14:textId="77777777" w:rsidR="00F158F4" w:rsidRPr="00E63DCC" w:rsidRDefault="00F158F4" w:rsidP="001A527B">
            <w:pPr>
              <w:pStyle w:val="Tabletext0"/>
              <w:bidi/>
              <w:spacing w:after="0" w:line="240" w:lineRule="auto"/>
              <w:rPr>
                <w:rtl/>
              </w:rPr>
            </w:pPr>
            <w:r>
              <w:rPr>
                <w:rFonts w:hint="cs"/>
                <w:rtl/>
              </w:rPr>
              <w:t>سجلات المنشآت الصحية المحلية</w:t>
            </w:r>
          </w:p>
        </w:tc>
        <w:tc>
          <w:tcPr>
            <w:tcW w:w="1560" w:type="dxa"/>
            <w:vAlign w:val="center"/>
          </w:tcPr>
          <w:p w14:paraId="16EEC1D9" w14:textId="00DB151B" w:rsidR="00F158F4" w:rsidRPr="00E63DCC" w:rsidRDefault="00FF6DAE" w:rsidP="001A527B">
            <w:pPr>
              <w:pStyle w:val="Tabletext0"/>
              <w:bidi/>
              <w:spacing w:after="0" w:line="240" w:lineRule="auto"/>
              <w:rPr>
                <w:rtl/>
              </w:rPr>
            </w:pPr>
            <w:r>
              <w:rPr>
                <w:rFonts w:hint="cs"/>
                <w:rtl/>
              </w:rPr>
              <w:t>غير متوفرة</w:t>
            </w:r>
          </w:p>
        </w:tc>
        <w:tc>
          <w:tcPr>
            <w:tcW w:w="1984" w:type="dxa"/>
            <w:vAlign w:val="center"/>
          </w:tcPr>
          <w:p w14:paraId="608F615F" w14:textId="77777777" w:rsidR="00F158F4" w:rsidRPr="00E63DCC" w:rsidRDefault="00F158F4" w:rsidP="001A527B">
            <w:pPr>
              <w:pStyle w:val="Tabletext0"/>
              <w:bidi/>
              <w:spacing w:after="0" w:line="240" w:lineRule="auto"/>
              <w:rPr>
                <w:rtl/>
              </w:rPr>
            </w:pPr>
            <w:r>
              <w:rPr>
                <w:rFonts w:hint="cs"/>
                <w:rtl/>
              </w:rPr>
              <w:t>كمي</w:t>
            </w:r>
          </w:p>
        </w:tc>
        <w:tc>
          <w:tcPr>
            <w:tcW w:w="2552" w:type="dxa"/>
            <w:vAlign w:val="center"/>
          </w:tcPr>
          <w:p w14:paraId="7797548C" w14:textId="01A146FB" w:rsidR="00F158F4" w:rsidRPr="00E63DCC" w:rsidRDefault="00FF6DAE" w:rsidP="001A527B">
            <w:pPr>
              <w:pStyle w:val="Tabletext0"/>
              <w:bidi/>
              <w:spacing w:after="0" w:line="240" w:lineRule="auto"/>
              <w:rPr>
                <w:rtl/>
              </w:rPr>
            </w:pPr>
            <w:r>
              <w:rPr>
                <w:rFonts w:hint="cs"/>
                <w:rtl/>
              </w:rPr>
              <w:t>غير متوفرة</w:t>
            </w:r>
          </w:p>
        </w:tc>
        <w:tc>
          <w:tcPr>
            <w:tcW w:w="2268" w:type="dxa"/>
            <w:vAlign w:val="center"/>
          </w:tcPr>
          <w:p w14:paraId="0393734D" w14:textId="77777777" w:rsidR="00F158F4" w:rsidRPr="00E63DCC" w:rsidRDefault="00F158F4" w:rsidP="001A527B">
            <w:pPr>
              <w:pStyle w:val="Tabletext0"/>
              <w:bidi/>
              <w:spacing w:after="0" w:line="240" w:lineRule="auto"/>
              <w:rPr>
                <w:rtl/>
              </w:rPr>
            </w:pPr>
            <w:r>
              <w:rPr>
                <w:rFonts w:hint="cs"/>
                <w:rtl/>
              </w:rPr>
              <w:t>وصفي</w:t>
            </w:r>
          </w:p>
        </w:tc>
      </w:tr>
      <w:tr w:rsidR="0085000A" w:rsidRPr="00E63DCC" w14:paraId="7442DADB" w14:textId="77777777" w:rsidTr="001A527B">
        <w:tc>
          <w:tcPr>
            <w:tcW w:w="15452" w:type="dxa"/>
            <w:gridSpan w:val="6"/>
            <w:shd w:val="clear" w:color="auto" w:fill="FFFF99"/>
            <w:vAlign w:val="center"/>
          </w:tcPr>
          <w:p w14:paraId="0538EF59" w14:textId="77777777" w:rsidR="0085000A" w:rsidRPr="00E63DCC" w:rsidRDefault="0085000A" w:rsidP="001A527B">
            <w:pPr>
              <w:pStyle w:val="Tabletext0"/>
              <w:bidi/>
              <w:spacing w:after="0" w:line="240" w:lineRule="auto"/>
              <w:rPr>
                <w:rtl/>
              </w:rPr>
            </w:pPr>
            <w:r>
              <w:rPr>
                <w:rFonts w:hint="cs"/>
                <w:rtl/>
              </w:rPr>
              <w:t>ملاحظات مباشرة</w:t>
            </w:r>
          </w:p>
        </w:tc>
      </w:tr>
      <w:tr w:rsidR="001A527B" w:rsidRPr="00E63DCC" w14:paraId="74789B62" w14:textId="77777777" w:rsidTr="001A527B">
        <w:tc>
          <w:tcPr>
            <w:tcW w:w="3946" w:type="dxa"/>
            <w:vAlign w:val="center"/>
          </w:tcPr>
          <w:p w14:paraId="43D3063C" w14:textId="77777777" w:rsidR="0085000A" w:rsidRPr="00E63DCC" w:rsidRDefault="0067164F" w:rsidP="001A527B">
            <w:pPr>
              <w:pStyle w:val="Tabletext0"/>
              <w:bidi/>
              <w:spacing w:after="0" w:line="240" w:lineRule="auto"/>
              <w:rPr>
                <w:rtl/>
              </w:rPr>
            </w:pPr>
            <w:r>
              <w:rPr>
                <w:rFonts w:hint="cs"/>
                <w:rtl/>
              </w:rPr>
              <w:t>ملاحظات مباشرة</w:t>
            </w:r>
          </w:p>
        </w:tc>
        <w:tc>
          <w:tcPr>
            <w:tcW w:w="3142" w:type="dxa"/>
            <w:vAlign w:val="center"/>
          </w:tcPr>
          <w:p w14:paraId="11A2FD3F" w14:textId="77777777" w:rsidR="0085000A" w:rsidRPr="00E63DCC" w:rsidRDefault="0067164F" w:rsidP="001A527B">
            <w:pPr>
              <w:pStyle w:val="Tabletext0"/>
              <w:bidi/>
              <w:spacing w:after="0" w:line="240" w:lineRule="auto"/>
              <w:rPr>
                <w:rtl/>
              </w:rPr>
            </w:pPr>
            <w:r>
              <w:rPr>
                <w:rFonts w:hint="cs"/>
                <w:rtl/>
              </w:rPr>
              <w:t>أداة التجول في الموقع</w:t>
            </w:r>
          </w:p>
        </w:tc>
        <w:tc>
          <w:tcPr>
            <w:tcW w:w="1560" w:type="dxa"/>
            <w:vAlign w:val="center"/>
          </w:tcPr>
          <w:p w14:paraId="34DA1E5F" w14:textId="2440BAD9" w:rsidR="0085000A" w:rsidRPr="00E63DCC" w:rsidRDefault="0067164F" w:rsidP="00B56BC5">
            <w:pPr>
              <w:pStyle w:val="Tabletext0"/>
              <w:bidi/>
              <w:spacing w:after="0" w:line="240" w:lineRule="auto"/>
              <w:rPr>
                <w:rtl/>
              </w:rPr>
            </w:pPr>
            <w:r>
              <w:rPr>
                <w:rFonts w:hint="cs"/>
                <w:rtl/>
              </w:rPr>
              <w:t>الملحق 10</w:t>
            </w:r>
          </w:p>
        </w:tc>
        <w:tc>
          <w:tcPr>
            <w:tcW w:w="1984" w:type="dxa"/>
            <w:vAlign w:val="center"/>
          </w:tcPr>
          <w:p w14:paraId="2ECBFD1A" w14:textId="77777777" w:rsidR="0085000A" w:rsidRPr="00E63DCC" w:rsidRDefault="0067164F" w:rsidP="001A527B">
            <w:pPr>
              <w:pStyle w:val="Tabletext0"/>
              <w:bidi/>
              <w:spacing w:after="0" w:line="240" w:lineRule="auto"/>
              <w:rPr>
                <w:rtl/>
              </w:rPr>
            </w:pPr>
            <w:r>
              <w:rPr>
                <w:rFonts w:hint="cs"/>
                <w:rtl/>
              </w:rPr>
              <w:t>نوعي</w:t>
            </w:r>
          </w:p>
        </w:tc>
        <w:tc>
          <w:tcPr>
            <w:tcW w:w="2552" w:type="dxa"/>
            <w:vAlign w:val="center"/>
          </w:tcPr>
          <w:p w14:paraId="62B99912" w14:textId="736C0C5E" w:rsidR="0085000A" w:rsidRPr="00E63DCC" w:rsidRDefault="00763EDB" w:rsidP="001A527B">
            <w:pPr>
              <w:pStyle w:val="Tabletext0"/>
              <w:bidi/>
              <w:spacing w:after="0" w:line="240" w:lineRule="auto"/>
              <w:rPr>
                <w:rtl/>
              </w:rPr>
            </w:pPr>
            <w:r>
              <w:rPr>
                <w:rFonts w:hint="cs"/>
                <w:rtl/>
              </w:rPr>
              <w:t>[</w:t>
            </w:r>
            <w:r>
              <w:t>X</w:t>
            </w:r>
            <w:r>
              <w:rPr>
                <w:rFonts w:hint="cs"/>
                <w:rtl/>
              </w:rPr>
              <w:t>] لكل موقع</w:t>
            </w:r>
          </w:p>
        </w:tc>
        <w:tc>
          <w:tcPr>
            <w:tcW w:w="2268" w:type="dxa"/>
            <w:vAlign w:val="center"/>
          </w:tcPr>
          <w:p w14:paraId="05324473" w14:textId="77777777" w:rsidR="0085000A" w:rsidRPr="00E63DCC" w:rsidRDefault="0067164F" w:rsidP="001A527B">
            <w:pPr>
              <w:pStyle w:val="Tabletext0"/>
              <w:bidi/>
              <w:spacing w:after="0" w:line="240" w:lineRule="auto"/>
              <w:rPr>
                <w:rtl/>
              </w:rPr>
            </w:pPr>
            <w:r>
              <w:rPr>
                <w:rFonts w:hint="cs"/>
                <w:rtl/>
              </w:rPr>
              <w:t>وصفي</w:t>
            </w:r>
          </w:p>
        </w:tc>
      </w:tr>
    </w:tbl>
    <w:p w14:paraId="30B14977" w14:textId="4ABE2383" w:rsidR="006E21A9" w:rsidRPr="00E63DCC" w:rsidRDefault="002F4516" w:rsidP="000929E8">
      <w:pPr>
        <w:bidi/>
        <w:spacing w:after="0"/>
        <w:rPr>
          <w:sz w:val="20"/>
          <w:szCs w:val="20"/>
          <w:rtl/>
        </w:rPr>
        <w:sectPr w:rsidR="006E21A9" w:rsidRPr="00E63DCC" w:rsidSect="00091C41">
          <w:headerReference w:type="default" r:id="rId15"/>
          <w:pgSz w:w="16838" w:h="11906" w:orient="landscape"/>
          <w:pgMar w:top="1440" w:right="1440" w:bottom="1440" w:left="1440" w:header="720" w:footer="720" w:gutter="0"/>
          <w:cols w:space="708"/>
          <w:docGrid w:linePitch="360"/>
        </w:sectPr>
      </w:pPr>
      <w:r>
        <w:rPr>
          <w:rFonts w:hint="cs"/>
          <w:sz w:val="20"/>
          <w:szCs w:val="20"/>
          <w:rtl/>
        </w:rPr>
        <w:t xml:space="preserve">أ. الملحقات المدرجة مرفقة بالدليل التفصيلي </w:t>
      </w:r>
      <w:r>
        <w:rPr>
          <w:rFonts w:hint="cs"/>
          <w:i/>
          <w:iCs/>
          <w:sz w:val="20"/>
          <w:szCs w:val="20"/>
          <w:rtl/>
        </w:rPr>
        <w:t>(8)</w:t>
      </w:r>
      <w:r>
        <w:rPr>
          <w:rFonts w:hint="cs"/>
          <w:sz w:val="20"/>
          <w:szCs w:val="20"/>
          <w:rtl/>
        </w:rPr>
        <w:t>.</w:t>
      </w:r>
    </w:p>
    <w:p w14:paraId="1C5C2E74" w14:textId="71383E24" w:rsidR="00B973D8" w:rsidRPr="00E63DCC" w:rsidRDefault="009C6FC4" w:rsidP="00A5640C">
      <w:pPr>
        <w:pStyle w:val="Heading2"/>
        <w:bidi/>
        <w:rPr>
          <w:rtl/>
        </w:rPr>
      </w:pPr>
      <w:bookmarkStart w:id="61" w:name="_Toc67301061"/>
      <w:bookmarkStart w:id="62" w:name="_Toc71095505"/>
      <w:bookmarkEnd w:id="31"/>
      <w:r>
        <w:rPr>
          <w:rFonts w:hint="cs"/>
          <w:rtl/>
        </w:rPr>
        <w:lastRenderedPageBreak/>
        <w:t>3.6 إدارة البيانات</w:t>
      </w:r>
      <w:bookmarkEnd w:id="61"/>
      <w:bookmarkEnd w:id="62"/>
    </w:p>
    <w:p w14:paraId="176ED1EA" w14:textId="15B4E7E9" w:rsidR="00461006" w:rsidRPr="00E63DCC" w:rsidRDefault="009C6FC4" w:rsidP="00A5640C">
      <w:pPr>
        <w:pStyle w:val="Heading3"/>
        <w:bidi/>
        <w:rPr>
          <w:rtl/>
        </w:rPr>
      </w:pPr>
      <w:bookmarkStart w:id="63" w:name="_Toc67301062"/>
      <w:bookmarkStart w:id="64" w:name="_Toc71095506"/>
      <w:r>
        <w:rPr>
          <w:rFonts w:hint="cs"/>
          <w:rtl/>
        </w:rPr>
        <w:t>3.6.1 تسجيل البيانات</w:t>
      </w:r>
      <w:bookmarkEnd w:id="63"/>
      <w:bookmarkEnd w:id="64"/>
    </w:p>
    <w:p w14:paraId="7AACDA42" w14:textId="4FC2360B" w:rsidR="008B7298" w:rsidRPr="00E63DCC" w:rsidRDefault="008B7298" w:rsidP="00A5640C">
      <w:pPr>
        <w:bidi/>
        <w:rPr>
          <w:rtl/>
        </w:rPr>
      </w:pPr>
      <w:r>
        <w:rPr>
          <w:rFonts w:hint="cs"/>
          <w:rtl/>
        </w:rPr>
        <w:t>سيتم تسجيل البيانات من مقابلات المبلغين الرئيسي ومناقشات مجموعات التركيز مباشرة في الاستبيان ميدانيًا إما (أ) عن طريق التسجيل الورقي المكتوب بخط اليد للإجابات؛ أو (ب) عن طريق إدخال الإجابات والكلمات الرئيسية مباشرة في جهاز محمول باليد أو كمبيوتر محمول.</w:t>
      </w:r>
      <w:r>
        <w:t xml:space="preserve"> </w:t>
      </w:r>
      <w:r>
        <w:rPr>
          <w:rFonts w:hint="cs"/>
          <w:rtl/>
        </w:rPr>
        <w:t>في حالة كتابة الملاحظات باليد، سيتم إدخال الإجابات لاحقًا في جهاز كمبيوتر.</w:t>
      </w:r>
      <w:r>
        <w:t xml:space="preserve"> </w:t>
      </w:r>
      <w:r>
        <w:rPr>
          <w:rFonts w:hint="cs"/>
          <w:rtl/>
        </w:rPr>
        <w:t>لن يتم تسجيل مقابلات المبلغين الرئيسيين ومناقشات مجموعات التركيز على شريط أو تفريغها كتابيًا.</w:t>
      </w:r>
    </w:p>
    <w:p w14:paraId="47598FC3" w14:textId="77777777" w:rsidR="008B7298" w:rsidRPr="00E63DCC" w:rsidRDefault="008B7298" w:rsidP="00A5640C">
      <w:pPr>
        <w:bidi/>
        <w:rPr>
          <w:rtl/>
        </w:rPr>
      </w:pPr>
      <w:r>
        <w:rPr>
          <w:rFonts w:hint="cs"/>
          <w:rtl/>
        </w:rPr>
        <w:t>[يُرجى تكييف الفقرات أعلاه مع دراستك.</w:t>
      </w:r>
      <w:r>
        <w:t xml:space="preserve"> </w:t>
      </w:r>
      <w:r>
        <w:rPr>
          <w:rFonts w:hint="cs"/>
          <w:rtl/>
        </w:rPr>
        <w:t>اذكر هنا كذلك أحجام العينات التي اخترتها لكل موقع دراسة ولكل طريقة (مقابلة المبلغ الرئيسي، مناقشة مجموعة التركيز، تقييم المنشأة الصحية) بشكل منفصل.]</w:t>
      </w:r>
    </w:p>
    <w:p w14:paraId="2AAEF6B8" w14:textId="604C417A" w:rsidR="008A0373" w:rsidRPr="00E63DCC" w:rsidRDefault="009C6FC4" w:rsidP="00A5640C">
      <w:pPr>
        <w:pStyle w:val="Heading3"/>
        <w:bidi/>
        <w:rPr>
          <w:rtl/>
        </w:rPr>
      </w:pPr>
      <w:bookmarkStart w:id="65" w:name="_Toc67301063"/>
      <w:bookmarkStart w:id="66" w:name="_Toc71095507"/>
      <w:r>
        <w:rPr>
          <w:rFonts w:hint="cs"/>
          <w:rtl/>
        </w:rPr>
        <w:t>3.6.2 حماية البيانات وسريتها</w:t>
      </w:r>
      <w:bookmarkEnd w:id="65"/>
      <w:bookmarkEnd w:id="66"/>
    </w:p>
    <w:p w14:paraId="0412FF53" w14:textId="7C9D8A4D" w:rsidR="008B7298" w:rsidRPr="00E63DCC" w:rsidRDefault="008B7298" w:rsidP="00A5640C">
      <w:pPr>
        <w:bidi/>
        <w:rPr>
          <w:rtl/>
        </w:rPr>
      </w:pPr>
      <w:r>
        <w:rPr>
          <w:rFonts w:hint="cs"/>
          <w:rtl/>
        </w:rPr>
        <w:t>[يُرجى وصف المكان الذي سيتم تخزين البيانات فيه، ومن يمكنه الوصول إليها وكيف تتم حماية البيانات - من خلال كلمات مرور أو خادم مشفر أو ما شابه.]</w:t>
      </w:r>
      <w:r>
        <w:t xml:space="preserve"> </w:t>
      </w:r>
      <w:r>
        <w:rPr>
          <w:rFonts w:hint="cs"/>
          <w:rtl/>
        </w:rPr>
        <w:t>لن يتم إعطاء أي بيانات فردية لأطراف خارجية.</w:t>
      </w:r>
      <w:r>
        <w:t xml:space="preserve"> </w:t>
      </w:r>
      <w:r>
        <w:rPr>
          <w:rFonts w:hint="cs"/>
          <w:rtl/>
        </w:rPr>
        <w:t>سيتم الحصول على الأسماء فقط للحصول على الموافقة الكتابية المستنيرة ولن يتم ربطها بأي من البيانات التي تم جمعها، بما في ذلك الصور الفوتوغرافية.</w:t>
      </w:r>
      <w:r>
        <w:t xml:space="preserve"> </w:t>
      </w:r>
      <w:r>
        <w:rPr>
          <w:rFonts w:hint="cs"/>
          <w:rtl/>
        </w:rPr>
        <w:t>لن يتم الكشف عن الأسماء والتوقيعات أو استخدامها.</w:t>
      </w:r>
      <w:r>
        <w:t xml:space="preserve"> </w:t>
      </w:r>
      <w:r>
        <w:rPr>
          <w:rFonts w:hint="cs"/>
          <w:rtl/>
        </w:rPr>
        <w:t>لن تُذكر أي أسماء أو تظهر في أي توثيق ونشر لنتائج البحث أو صوره.</w:t>
      </w:r>
    </w:p>
    <w:p w14:paraId="0EFA57A7" w14:textId="3618E5AE" w:rsidR="008A0373" w:rsidRPr="00E63DCC" w:rsidRDefault="005A611A" w:rsidP="00A5640C">
      <w:pPr>
        <w:pStyle w:val="Heading3"/>
        <w:bidi/>
        <w:rPr>
          <w:rtl/>
        </w:rPr>
      </w:pPr>
      <w:bookmarkStart w:id="67" w:name="_Toc67301064"/>
      <w:bookmarkStart w:id="68" w:name="_Toc71095508"/>
      <w:r>
        <w:rPr>
          <w:rFonts w:hint="cs"/>
          <w:rtl/>
        </w:rPr>
        <w:t>3.6.3 ملكية البيانات ومشاركتها</w:t>
      </w:r>
      <w:bookmarkEnd w:id="67"/>
      <w:bookmarkEnd w:id="68"/>
    </w:p>
    <w:p w14:paraId="121181E2" w14:textId="72BEC442" w:rsidR="007E2817" w:rsidRPr="00E63DCC" w:rsidRDefault="007E2817" w:rsidP="00A5640C">
      <w:pPr>
        <w:bidi/>
        <w:rPr>
          <w:rtl/>
        </w:rPr>
      </w:pPr>
      <w:r>
        <w:rPr>
          <w:rFonts w:hint="cs"/>
          <w:rtl/>
        </w:rPr>
        <w:t>[يُرجى تقديم لمحة عامة عن ملكية البيانات والاتفاقيات المحتملة مع المنظمات الوطنية أو الدولية في ما يتعلق بملكية البيانات ومشاركتها.]</w:t>
      </w:r>
      <w:r>
        <w:t xml:space="preserve"> </w:t>
      </w:r>
    </w:p>
    <w:p w14:paraId="40EDA5A9" w14:textId="581DE14C" w:rsidR="007E2817" w:rsidRPr="00482197" w:rsidRDefault="007E2817" w:rsidP="00DC1850">
      <w:pPr>
        <w:pStyle w:val="Normalboldhead"/>
        <w:bidi/>
        <w:rPr>
          <w:b w:val="0"/>
          <w:bCs/>
          <w:rtl/>
        </w:rPr>
      </w:pPr>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p>
    <w:p w14:paraId="29F92B20" w14:textId="2E5CD42A" w:rsidR="007E2817" w:rsidRPr="00E63DCC" w:rsidRDefault="007E2817" w:rsidP="00A5640C">
      <w:pPr>
        <w:bidi/>
        <w:rPr>
          <w:rtl/>
        </w:rPr>
      </w:pPr>
      <w:r>
        <w:rPr>
          <w:rFonts w:hint="cs"/>
          <w:rtl/>
        </w:rPr>
        <w:t>البيانات هي الأساس لجميع الإجراءات السليمة المتعلقة بالصحة العامة، كما أن فوائد تبادل البيانات معترف بها على نطاق واسع، بما في ذلك الفوائد العلمية والفوائد للصحة العامة.</w:t>
      </w:r>
      <w:r>
        <w:t xml:space="preserve"> </w:t>
      </w:r>
      <w:r>
        <w:rPr>
          <w:rFonts w:hint="cs"/>
          <w:rtl/>
        </w:rPr>
        <w:t>ترغب منظمة الصحة العالمية في تعزيز تبادل البيانات الصحية، بما في ذلك البيانات الخاصة بالمراقبة والأوبئة.</w:t>
      </w:r>
      <w:r>
        <w:t xml:space="preserve"> </w:t>
      </w:r>
      <w:r>
        <w:rPr>
          <w:rFonts w:hint="cs"/>
          <w:rtl/>
        </w:rPr>
        <w:t>في هذا الصدد، ودون المساس بتبادل المعلومات وفقًا للوائح الصحية الدولية وغيرها من المستندات الملزمة قانونًا (مثل لوائح منظمة الصحة العالمية للتسمية لعام 1967)، ومن خلال تقديم البيانات إلى منظمة الصحة العالمية، ستوقع وزارة الصحة النيجيرية اتفاقية تفيد بأنها:</w:t>
      </w:r>
    </w:p>
    <w:p w14:paraId="56F830E8" w14:textId="64D8A78E" w:rsidR="007E2817" w:rsidRPr="00E63DCC" w:rsidRDefault="007E2817" w:rsidP="00DC1850">
      <w:pPr>
        <w:pStyle w:val="Bulletlist"/>
        <w:bidi/>
        <w:rPr>
          <w:rtl/>
        </w:rPr>
      </w:pPr>
      <w:r>
        <w:rPr>
          <w:rFonts w:hint="cs"/>
          <w:rtl/>
        </w:rPr>
        <w:t>تؤكد على أن جميع البيانات التي يتم تقديمها لمنظمة الصحة العالمية بموجب هذه الاتفاقية قد تم جمعها وفقًا للقوانين الوطنية السارية، بما في ذلك قوانين حماية البيانات التي تهدف إلى حماية سرية الأشخاص الذين يمكن التعرف عليهم؛</w:t>
      </w:r>
    </w:p>
    <w:p w14:paraId="54F88DEF" w14:textId="0DDD8893" w:rsidR="00C50421" w:rsidRPr="00E63DCC" w:rsidRDefault="007E2817" w:rsidP="00DC1850">
      <w:pPr>
        <w:pStyle w:val="Bulletlist"/>
        <w:bidi/>
        <w:rPr>
          <w:rtl/>
        </w:rPr>
      </w:pPr>
      <w:r>
        <w:rPr>
          <w:rFonts w:hint="cs"/>
          <w:rtl/>
        </w:rPr>
        <w:t>توافق على أنه يحق لمنظمة الصحة العالمية ما يلي مع مراعاة تدابير ضمان الاستخدام الأخلاقي والآمن للبيانات دائمًا، ووفق إقرار مناسب دائمًا من البلد:</w:t>
      </w:r>
    </w:p>
    <w:p w14:paraId="634D33D8" w14:textId="19BB2D0C" w:rsidR="007E2817" w:rsidRPr="00E63DCC" w:rsidRDefault="00C50421" w:rsidP="00DC1850">
      <w:pPr>
        <w:pStyle w:val="Bulletlist2"/>
        <w:bidi/>
        <w:rPr>
          <w:rtl/>
        </w:rPr>
      </w:pPr>
      <w:r>
        <w:rPr>
          <w:rFonts w:hint="cs"/>
          <w:rtl/>
        </w:rPr>
        <w:t>أن تنشر البيانات، بعد تجريدها من أي معرّفات شخصية، وتتيح البيانات لأي طرف مهتم عند الطلب (طالما أن منظمة الصحة العالمية لم تنشرها، أو لم يتم نشرها بعد) وفق شروط تسمح باستخدام البيانات غير التجاري، وغير الهادف للربح في أغراض الصحة العامة (شريطة أن يظل نشر البيانات تحت سيطرة المنظمة دائمًا)؛</w:t>
      </w:r>
      <w:r>
        <w:t xml:space="preserve"> </w:t>
      </w:r>
    </w:p>
    <w:p w14:paraId="2F474D0C" w14:textId="3CBBEC64" w:rsidR="00C50421" w:rsidRPr="00E63DCC" w:rsidRDefault="00C50421" w:rsidP="00DC1850">
      <w:pPr>
        <w:pStyle w:val="Bulletlist2"/>
        <w:bidi/>
        <w:rPr>
          <w:rtl/>
        </w:rPr>
      </w:pPr>
      <w:r>
        <w:rPr>
          <w:rFonts w:hint="cs"/>
          <w:rtl/>
        </w:rPr>
        <w:t>أن تستخدم البيانات وتجمعها وتراكمها وتقيمها وتحللها وأن تنشر النتائج وتوزعها بالتزامن مع عمل منظمة الصحة العالمية ووفقًا لسياسات المنظمة وممارساتها </w:t>
      </w:r>
      <w:r>
        <w:rPr>
          <w:rFonts w:hint="cs"/>
          <w:i/>
          <w:iCs/>
          <w:rtl/>
        </w:rPr>
        <w:t>(12)</w:t>
      </w:r>
      <w:r>
        <w:rPr>
          <w:rFonts w:hint="cs"/>
          <w:rtl/>
        </w:rPr>
        <w:t>.</w:t>
      </w:r>
    </w:p>
    <w:p w14:paraId="1C67426C" w14:textId="690B95A3" w:rsidR="007E2817" w:rsidRPr="00E63DCC" w:rsidRDefault="007E2817" w:rsidP="00A5640C">
      <w:pPr>
        <w:bidi/>
        <w:rPr>
          <w:rtl/>
        </w:rPr>
      </w:pPr>
      <w:r>
        <w:rPr>
          <w:rFonts w:hint="cs"/>
          <w:rtl/>
        </w:rPr>
        <w:t>وفقًا للاتفاقية التعاقدية بين منظمة الصحة العالمية ومنظمة الأمم المتحدة للتنمية الصناعية:</w:t>
      </w:r>
      <w:r>
        <w:t xml:space="preserve"> </w:t>
      </w:r>
      <w:r>
        <w:rPr>
          <w:rFonts w:hint="cs"/>
          <w:rtl/>
        </w:rPr>
        <w:t>"ستعود جميع حقوق الملكية الفكرية المتعلقة بالأنشطة للوكالة المستفيدة.</w:t>
      </w:r>
      <w:r>
        <w:t xml:space="preserve"> </w:t>
      </w:r>
      <w:r>
        <w:rPr>
          <w:rFonts w:hint="cs"/>
          <w:rtl/>
        </w:rPr>
        <w:t>ستتمتع الوكالة المساهمة، وحكومة البرنامج ذات الصلة، إن أمكن، بترخيص دائم ومن دون حقوق ملكية وغير حصري وغير قابل للتحويل."</w:t>
      </w:r>
      <w:r>
        <w:t xml:space="preserve"> </w:t>
      </w:r>
      <w:r>
        <w:rPr>
          <w:rFonts w:hint="cs"/>
          <w:rtl/>
        </w:rPr>
        <w:t>ومن ثم، فإن منظمة الأمم المتحدة للتنمية الصناعية ليست الوكالة المنفذة للبحث ولا تمتلك البيانات.</w:t>
      </w:r>
    </w:p>
    <w:p w14:paraId="246FA15F" w14:textId="7C786DBF" w:rsidR="006A3975" w:rsidRPr="00E63DCC" w:rsidRDefault="00DC1850" w:rsidP="00A5640C">
      <w:pPr>
        <w:bidi/>
        <w:rPr>
          <w:rtl/>
        </w:rPr>
      </w:pPr>
      <w:r>
        <w:rPr>
          <w:rFonts w:hint="cs"/>
          <w:rtl/>
        </w:rPr>
        <w:t>يسلم المعهد السويسري للصحة الاستوائية والعامة جميع البيانات إلى منظمة الصحة العالمية في نهاية الدراسة.</w:t>
      </w:r>
    </w:p>
    <w:p w14:paraId="698E76F3" w14:textId="0D1D758D" w:rsidR="008A0373" w:rsidRPr="00E63DCC" w:rsidRDefault="00A157BF" w:rsidP="00A5640C">
      <w:pPr>
        <w:pStyle w:val="Heading2"/>
        <w:bidi/>
        <w:rPr>
          <w:rtl/>
        </w:rPr>
      </w:pPr>
      <w:bookmarkStart w:id="69" w:name="_Toc67301065"/>
      <w:bookmarkStart w:id="70" w:name="_Toc71095509"/>
      <w:r>
        <w:rPr>
          <w:rFonts w:hint="cs"/>
          <w:rtl/>
        </w:rPr>
        <w:lastRenderedPageBreak/>
        <w:t>3.7 تحليل البيانات</w:t>
      </w:r>
      <w:bookmarkEnd w:id="69"/>
      <w:bookmarkEnd w:id="70"/>
    </w:p>
    <w:p w14:paraId="19764662" w14:textId="3E335D57" w:rsidR="008A0373" w:rsidRPr="00E63DCC" w:rsidRDefault="00A157BF" w:rsidP="00A5640C">
      <w:pPr>
        <w:pStyle w:val="Heading3"/>
        <w:bidi/>
        <w:rPr>
          <w:rtl/>
        </w:rPr>
      </w:pPr>
      <w:bookmarkStart w:id="71" w:name="_Toc283557262"/>
      <w:bookmarkStart w:id="72" w:name="_Toc67301066"/>
      <w:bookmarkStart w:id="73" w:name="_Toc71095510"/>
      <w:r>
        <w:rPr>
          <w:rFonts w:hint="cs"/>
          <w:rtl/>
        </w:rPr>
        <w:t>3.7.1 مجموعات البيانات المقرر تحليلها</w:t>
      </w:r>
      <w:bookmarkEnd w:id="71"/>
      <w:bookmarkEnd w:id="72"/>
      <w:bookmarkEnd w:id="73"/>
    </w:p>
    <w:p w14:paraId="5C6E44B0" w14:textId="4FF37612" w:rsidR="007E2817" w:rsidRPr="00E63DCC" w:rsidRDefault="007E2817" w:rsidP="00A5640C">
      <w:pPr>
        <w:bidi/>
        <w:rPr>
          <w:rtl/>
        </w:rPr>
      </w:pPr>
      <w:r>
        <w:rPr>
          <w:rFonts w:hint="cs"/>
          <w:rtl/>
        </w:rPr>
        <w:t>سيتم تحليل مجموعات البيانات التالية:</w:t>
      </w:r>
    </w:p>
    <w:p w14:paraId="0D4E05FB" w14:textId="7F12B4C6" w:rsidR="007E2817" w:rsidRPr="00E63DCC" w:rsidRDefault="00A157BF" w:rsidP="009734E2">
      <w:pPr>
        <w:pStyle w:val="Bulletlist"/>
        <w:bidi/>
        <w:rPr>
          <w:rtl/>
        </w:rPr>
      </w:pPr>
      <w:r>
        <w:rPr>
          <w:rFonts w:hint="cs"/>
          <w:rtl/>
        </w:rPr>
        <w:t>استبيان مقابلة المبلغ الرئيسي شبه المنظم</w:t>
      </w:r>
    </w:p>
    <w:p w14:paraId="05483332" w14:textId="2D36628B" w:rsidR="007E2817" w:rsidRPr="00E63DCC" w:rsidRDefault="00A157BF" w:rsidP="009734E2">
      <w:pPr>
        <w:pStyle w:val="Bulletlist"/>
        <w:bidi/>
        <w:rPr>
          <w:rtl/>
        </w:rPr>
      </w:pPr>
      <w:r>
        <w:rPr>
          <w:rFonts w:hint="cs"/>
          <w:rtl/>
        </w:rPr>
        <w:t>استبيان مناقشة مجموعة التركيز شبه المنظم</w:t>
      </w:r>
    </w:p>
    <w:p w14:paraId="3DE0C3CE" w14:textId="39034AC1" w:rsidR="007E2817" w:rsidRPr="00E63DCC" w:rsidRDefault="007E2817" w:rsidP="009734E2">
      <w:pPr>
        <w:pStyle w:val="Bulletlist"/>
        <w:bidi/>
        <w:rPr>
          <w:rtl/>
        </w:rPr>
      </w:pPr>
      <w:r>
        <w:rPr>
          <w:rFonts w:hint="cs"/>
          <w:rtl/>
        </w:rPr>
        <w:t>أداة تقييم المنشآت الصحية</w:t>
      </w:r>
    </w:p>
    <w:p w14:paraId="72C489FA" w14:textId="7BCEF26C" w:rsidR="007E2817" w:rsidRPr="00E63DCC" w:rsidRDefault="00A157BF" w:rsidP="009734E2">
      <w:pPr>
        <w:pStyle w:val="Bulletlist"/>
        <w:bidi/>
        <w:rPr>
          <w:rtl/>
        </w:rPr>
      </w:pPr>
      <w:r>
        <w:rPr>
          <w:rFonts w:hint="cs"/>
          <w:rtl/>
        </w:rPr>
        <w:t>الإحصاءات الصحية</w:t>
      </w:r>
    </w:p>
    <w:p w14:paraId="61D494AC" w14:textId="5678A831" w:rsidR="007E2817" w:rsidRPr="00E63DCC" w:rsidRDefault="00A157BF" w:rsidP="009734E2">
      <w:pPr>
        <w:pStyle w:val="Bulletlist"/>
        <w:bidi/>
        <w:rPr>
          <w:rtl/>
        </w:rPr>
      </w:pPr>
      <w:r>
        <w:rPr>
          <w:rFonts w:hint="cs"/>
          <w:rtl/>
        </w:rPr>
        <w:t>بيانات الملاحظة.</w:t>
      </w:r>
    </w:p>
    <w:p w14:paraId="2C2FFF71" w14:textId="505D8847" w:rsidR="00B810D2" w:rsidRPr="00E63DCC" w:rsidRDefault="00A157BF" w:rsidP="00A5640C">
      <w:pPr>
        <w:pStyle w:val="Heading3"/>
        <w:bidi/>
        <w:rPr>
          <w:rtl/>
        </w:rPr>
      </w:pPr>
      <w:bookmarkStart w:id="74" w:name="_Toc67301067"/>
      <w:bookmarkStart w:id="75" w:name="_Toc71095511"/>
      <w:r>
        <w:rPr>
          <w:rFonts w:hint="cs"/>
          <w:rtl/>
        </w:rPr>
        <w:t>3.7.2 تحليل البيانات وإعداد التقارير</w:t>
      </w:r>
      <w:bookmarkEnd w:id="74"/>
      <w:bookmarkEnd w:id="75"/>
    </w:p>
    <w:p w14:paraId="37D940C6" w14:textId="713F6427" w:rsidR="0008230C" w:rsidRPr="00E63DCC" w:rsidRDefault="0008230C" w:rsidP="00A5640C">
      <w:pPr>
        <w:bidi/>
        <w:rPr>
          <w:rtl/>
        </w:rPr>
      </w:pPr>
      <w:r>
        <w:rPr>
          <w:rFonts w:hint="cs"/>
          <w:rtl/>
        </w:rPr>
        <w:t>سيتألف تحليل البيانات النوعية والكمية المجمعة من وصف منهجي لكل من (أ) النظام الصحي المحلي (بما في ذلك البنية التحتية للصحة البدنية، وتغطية النظام الصحي، وبرامج الصحة العامة)؛ و(ب) المحددات الاجتماعية للصحة (بما في ذلك الخصائص العامة لمجتمعات تعدين الذهب الحرفي والضيق النطاق، ممارسات التعدين، سلوك المشورة الصحية، المشاكل الجنسانية، الفئات المعرضة للخطر، المخاوف الأمنية)؛ و(ج) المحددات البيئية والمهنية للصحة، مع التركيز على الأخطار ذات الصلة (بما في ذلك المخاطر الكيميائية والبيولوجية والميكانيكية).</w:t>
      </w:r>
    </w:p>
    <w:p w14:paraId="2496C6F8" w14:textId="3BF082E3" w:rsidR="0008230C" w:rsidRPr="00E63DCC" w:rsidRDefault="0008230C" w:rsidP="00A5640C">
      <w:pPr>
        <w:bidi/>
        <w:rPr>
          <w:rtl/>
        </w:rPr>
      </w:pPr>
      <w:r>
        <w:rPr>
          <w:rFonts w:hint="cs"/>
          <w:rtl/>
        </w:rPr>
        <w:t>تجمع الاستبيانات شبه المنظمة البيانات النوعية في الغالب، والتي سيتم تصنيفها حسب معنى المحتوى والأفكار المشابهة والتفاعل مع المحتوى.</w:t>
      </w:r>
      <w:r>
        <w:t xml:space="preserve"> </w:t>
      </w:r>
      <w:r>
        <w:rPr>
          <w:rFonts w:hint="cs"/>
          <w:rtl/>
        </w:rPr>
        <w:t>سيتم إجراء التحليلات الإحصائية الكمية باستخدام [اسم البرنامج الإحصائي الذي ستستخدمه]، والذي سيقوم بإجراء تحليل وصفي أساسي للبيانات الإحصائية الصحية الواردة من المنشآت الصحية المحلية.</w:t>
      </w:r>
      <w:r>
        <w:t xml:space="preserve"> </w:t>
      </w:r>
      <w:r>
        <w:rPr>
          <w:rFonts w:hint="cs"/>
          <w:rtl/>
        </w:rPr>
        <w:t>سيتم تلخيص البيانات الواردة من تقييمات المنشآت الصحية وتبويبها.</w:t>
      </w:r>
      <w:r>
        <w:t xml:space="preserve"> </w:t>
      </w:r>
      <w:r>
        <w:rPr>
          <w:rFonts w:hint="cs"/>
          <w:rtl/>
        </w:rPr>
        <w:t>ومن ثم، سيتم تفسير النتائج النوعية الخاصة بالظروف الصحية وسلوك المشورة الصحية في مجتمعات تعدين الذهب الحرفي والضيق النطاق بالاقتران مع البيانات الواردة من نظام المعلومات الصحية الروتيني، ومراجعة الأدبيات والملاحظات المباشرة.</w:t>
      </w:r>
    </w:p>
    <w:p w14:paraId="752D7091" w14:textId="510CF7C5" w:rsidR="0008230C" w:rsidRPr="00E63DCC" w:rsidRDefault="0008230C" w:rsidP="00A5640C">
      <w:pPr>
        <w:bidi/>
        <w:rPr>
          <w:rtl/>
        </w:rPr>
      </w:pPr>
      <w:r>
        <w:rPr>
          <w:rFonts w:hint="cs"/>
          <w:rtl/>
        </w:rPr>
        <w:t>بعد ذلك، سيوجه التحليل المجمع للبيانات التي تم جمعها بشأن المحددات الصحية والظروف الصحية التي تؤثر على عمال تعدين الذهب الحرفي والضيق النطاق صياغة التوصيات بشأن (أ) معالجة الفجوات في جاهزية النظام الصحي المتعلقة بمشاكل التعدين؛ و(ب) توفير معلومات عن التغير السلوكي في ممارسات التعدين من أجل جعله أكثر أمانًا وصحة.</w:t>
      </w:r>
      <w:r>
        <w:t xml:space="preserve"> </w:t>
      </w:r>
      <w:r>
        <w:rPr>
          <w:rFonts w:hint="cs"/>
          <w:rtl/>
        </w:rPr>
        <w:t>وستغطي هذه التوصيات النطاق الكامل من المشاكل الصحية المحتملة التي تؤثر على مجتمعات تعدين الذهب الحرفي والضيق النطاق، حيث يشكل الزئبق خطرًا صحيًا مهمًا.</w:t>
      </w:r>
    </w:p>
    <w:p w14:paraId="7B412ED1" w14:textId="1CB0441F" w:rsidR="0008230C" w:rsidRPr="00E63DCC" w:rsidRDefault="0008230C" w:rsidP="00A5640C">
      <w:pPr>
        <w:bidi/>
        <w:rPr>
          <w:rtl/>
        </w:rPr>
      </w:pPr>
      <w:r>
        <w:rPr>
          <w:rFonts w:hint="cs"/>
          <w:rtl/>
        </w:rPr>
        <w:t>[يُرجى تكييف الفقرات أعلاه لتلائم أهداف دراستك وتصميمها.]</w:t>
      </w:r>
    </w:p>
    <w:p w14:paraId="76B89367" w14:textId="77777777" w:rsidR="009734E2" w:rsidRPr="00E63DCC" w:rsidRDefault="009734E2">
      <w:pPr>
        <w:bidi/>
        <w:spacing w:after="0" w:line="240" w:lineRule="auto"/>
        <w:rPr>
          <w:rFonts w:eastAsia="Times New Roman"/>
          <w:b/>
          <w:bCs/>
          <w:color w:val="800000"/>
          <w:kern w:val="32"/>
          <w:sz w:val="32"/>
          <w:szCs w:val="28"/>
          <w:rtl/>
        </w:rPr>
      </w:pPr>
      <w:bookmarkStart w:id="76" w:name="_Toc283557224"/>
      <w:bookmarkStart w:id="77" w:name="_Toc283557271"/>
      <w:r>
        <w:rPr>
          <w:rFonts w:hint="cs"/>
          <w:rtl/>
        </w:rPr>
        <w:br w:type="page"/>
      </w:r>
    </w:p>
    <w:p w14:paraId="3AAD0F25" w14:textId="773C3B07" w:rsidR="008C07CF" w:rsidRPr="00E63DCC" w:rsidRDefault="00E33408" w:rsidP="00A5640C">
      <w:pPr>
        <w:pStyle w:val="Heading1"/>
        <w:bidi/>
        <w:rPr>
          <w:rtl/>
        </w:rPr>
      </w:pPr>
      <w:bookmarkStart w:id="78" w:name="_Toc67301068"/>
      <w:bookmarkStart w:id="79" w:name="_Toc71095512"/>
      <w:bookmarkEnd w:id="76"/>
      <w:r>
        <w:rPr>
          <w:rFonts w:hint="cs"/>
          <w:rtl/>
        </w:rPr>
        <w:lastRenderedPageBreak/>
        <w:t>4.</w:t>
      </w:r>
      <w:r>
        <w:rPr>
          <w:rFonts w:hint="cs"/>
          <w:rtl/>
        </w:rPr>
        <w:tab/>
        <w:t>الاعتبارات الأخلاقية</w:t>
      </w:r>
      <w:bookmarkEnd w:id="78"/>
      <w:bookmarkEnd w:id="79"/>
    </w:p>
    <w:p w14:paraId="1C2ABEA8" w14:textId="5CB1724E" w:rsidR="00637827" w:rsidRPr="00E63DCC" w:rsidRDefault="00E33408" w:rsidP="00D756F9">
      <w:pPr>
        <w:pStyle w:val="Heading2"/>
        <w:bidi/>
        <w:rPr>
          <w:rtl/>
        </w:rPr>
      </w:pPr>
      <w:bookmarkStart w:id="80" w:name="_Toc283557225"/>
      <w:bookmarkStart w:id="81" w:name="_Toc67301069"/>
      <w:bookmarkStart w:id="82" w:name="_Toc71095513"/>
      <w:r>
        <w:rPr>
          <w:rFonts w:hint="cs"/>
          <w:rtl/>
        </w:rPr>
        <w:t>4.1 السلوك الأخلاقي في الدراسة</w:t>
      </w:r>
      <w:bookmarkEnd w:id="80"/>
      <w:bookmarkEnd w:id="81"/>
      <w:bookmarkEnd w:id="82"/>
    </w:p>
    <w:p w14:paraId="695DCBB7" w14:textId="3FB5447B" w:rsidR="00FA0230" w:rsidRPr="00E63DCC" w:rsidRDefault="00FA0230" w:rsidP="00A5640C">
      <w:pPr>
        <w:bidi/>
        <w:rPr>
          <w:rtl/>
        </w:rPr>
      </w:pPr>
      <w:r>
        <w:rPr>
          <w:rFonts w:hint="cs"/>
          <w:rtl/>
        </w:rPr>
        <w:t>[صف هنا عملية طلب الموافقة الأخلاقية، بما في ذلك اللجان أو المؤسسات التي تحتاج إلى التقدم إليها للحصول على التصريح الأخلاقي.</w:t>
      </w:r>
      <w:r>
        <w:t xml:space="preserve"> </w:t>
      </w:r>
      <w:r>
        <w:rPr>
          <w:rFonts w:hint="cs"/>
          <w:rtl/>
        </w:rPr>
        <w:t>يُرجى الرجوع إلى وثيقة إرشادات الموافقة الأخلاقية لمنظمة الصحة العالمية </w:t>
      </w:r>
      <w:r>
        <w:rPr>
          <w:rFonts w:hint="cs"/>
          <w:i/>
          <w:iCs/>
          <w:rtl/>
        </w:rPr>
        <w:t>(13)</w:t>
      </w:r>
      <w:r>
        <w:rPr>
          <w:rFonts w:hint="cs"/>
          <w:rtl/>
        </w:rPr>
        <w:t> لمزيد من المعلومات.]</w:t>
      </w:r>
      <w:r>
        <w:t xml:space="preserve"> </w:t>
      </w:r>
    </w:p>
    <w:p w14:paraId="493DF996" w14:textId="0D5913C7" w:rsidR="009D4794" w:rsidRPr="00482197" w:rsidRDefault="009D4794" w:rsidP="00D756F9">
      <w:pPr>
        <w:pStyle w:val="Normalboldhead"/>
        <w:bidi/>
        <w:rPr>
          <w:b w:val="0"/>
          <w:bCs/>
          <w:rtl/>
        </w:rPr>
      </w:pPr>
      <w:bookmarkStart w:id="83" w:name="_Hlk46748135"/>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p>
    <w:bookmarkEnd w:id="83"/>
    <w:p w14:paraId="75BC0297" w14:textId="234E1E3E" w:rsidR="005A2FEA" w:rsidRPr="00E63DCC" w:rsidRDefault="005A2FEA" w:rsidP="00A5640C">
      <w:pPr>
        <w:bidi/>
        <w:rPr>
          <w:rtl/>
        </w:rPr>
      </w:pPr>
      <w:r>
        <w:rPr>
          <w:rFonts w:hint="cs"/>
          <w:rtl/>
        </w:rPr>
        <w:t>سيتم إجراء الدراسة وفقًا لبروتوكول الدراسة الحالي والمبادئ المنصوص عليها في الإرشادات الأخلاقية الدولية لمجلس منظمات العلوم الطبية الدولية (</w:t>
      </w:r>
      <w:r>
        <w:t>CIOMS</w:t>
      </w:r>
      <w:r>
        <w:rPr>
          <w:rFonts w:hint="cs"/>
          <w:rtl/>
        </w:rPr>
        <w:t>) بشأن الأبحاث المتعلقة بالصحة التي تشمل البشر بالإضافة إلى إعلان هلسنكي، وكذلك جميع المتطلبات القانونية والتنظيمية الوطنية </w:t>
      </w:r>
      <w:r>
        <w:rPr>
          <w:rFonts w:hint="cs"/>
          <w:i/>
          <w:iCs/>
          <w:rtl/>
        </w:rPr>
        <w:t>(14)</w:t>
      </w:r>
      <w:r>
        <w:rPr>
          <w:rFonts w:hint="cs"/>
          <w:rtl/>
        </w:rPr>
        <w:t>.</w:t>
      </w:r>
    </w:p>
    <w:p w14:paraId="075CA084" w14:textId="33CDF97E" w:rsidR="005A2FEA" w:rsidRPr="00E63DCC" w:rsidRDefault="005A2FEA" w:rsidP="00A5640C">
      <w:pPr>
        <w:bidi/>
        <w:rPr>
          <w:rtl/>
        </w:rPr>
      </w:pPr>
      <w:r>
        <w:rPr>
          <w:rFonts w:hint="cs"/>
          <w:rtl/>
        </w:rPr>
        <w:t>في المقام الأول، تم الحصول على الموافقة الأخلاقية من لجنة مراجعة أخلاقيات الأبحاث لمنظمة الصحة العالمية على البروتوكول الرئيسي للدراسة.</w:t>
      </w:r>
      <w:r>
        <w:t xml:space="preserve"> </w:t>
      </w:r>
      <w:r>
        <w:rPr>
          <w:rFonts w:hint="cs"/>
          <w:rtl/>
        </w:rPr>
        <w:t>سيتم اتباع إجراءات الدراسة والاعتبارات الأخلاقية الواردة في البروتوكول الرئيسي في جميع بلدان الدراسة الثلاثة.</w:t>
      </w:r>
      <w:r>
        <w:t xml:space="preserve"> </w:t>
      </w:r>
      <w:r>
        <w:rPr>
          <w:rFonts w:hint="cs"/>
          <w:rtl/>
        </w:rPr>
        <w:t>لن تبدأ أي أنشطة عمل ميداني للمشروع إلا بعد اعتماد بروتوكول الدراسة ومعلومات المشاركين واستمارات الموافقة والوثائق الأخرى الخاصة بالمشروع من قبل لجنة مراجعة أخلاقيات الأبحاث التابعة لمنظمة الصحة العالمية واللجان الوطنية للأخلاقيات في كل دولة شاركت في الدراسة.</w:t>
      </w:r>
    </w:p>
    <w:p w14:paraId="0761132E" w14:textId="6260210E" w:rsidR="005A2FEA" w:rsidRPr="00E63DCC" w:rsidRDefault="005A2FEA" w:rsidP="00A5640C">
      <w:pPr>
        <w:bidi/>
        <w:rPr>
          <w:rtl/>
        </w:rPr>
      </w:pPr>
      <w:r>
        <w:rPr>
          <w:rFonts w:hint="cs"/>
          <w:rtl/>
        </w:rPr>
        <w:t>يجب بعد ذلك وضع بروتوكولات خاصة بالموقع وطلب الموافقة الأخلاقية عبر وزارات الصحة أو مجالس المراجعة المؤسسية المحلية في نيجيريا.</w:t>
      </w:r>
    </w:p>
    <w:p w14:paraId="322977FF" w14:textId="77777777" w:rsidR="005A2FEA" w:rsidRPr="00E63DCC" w:rsidRDefault="005A2FEA" w:rsidP="00A5640C">
      <w:pPr>
        <w:bidi/>
        <w:rPr>
          <w:rtl/>
        </w:rPr>
      </w:pPr>
      <w:r>
        <w:rPr>
          <w:rFonts w:hint="cs"/>
          <w:rtl/>
        </w:rPr>
        <w:t>يتم وضع الإجراءات الميدانية التفصيلية بتعاون وثيق مع المؤسسات المحلية الشريكة.</w:t>
      </w:r>
    </w:p>
    <w:p w14:paraId="7BED3285" w14:textId="77777777" w:rsidR="005A2FEA" w:rsidRPr="00E63DCC" w:rsidRDefault="005A2FEA" w:rsidP="00A5640C">
      <w:pPr>
        <w:bidi/>
        <w:rPr>
          <w:rtl/>
        </w:rPr>
      </w:pPr>
      <w:r>
        <w:rPr>
          <w:rFonts w:hint="cs"/>
          <w:rtl/>
        </w:rPr>
        <w:t>لهذا الغرض، سيتم اتباع عملية التصريح الأخلاقي التالية:</w:t>
      </w:r>
    </w:p>
    <w:p w14:paraId="55B8240F" w14:textId="0C4525B2" w:rsidR="005A2FEA" w:rsidRPr="00E63DCC" w:rsidRDefault="005A2FEA" w:rsidP="00D756F9">
      <w:pPr>
        <w:pStyle w:val="Bulletlist"/>
        <w:bidi/>
        <w:rPr>
          <w:rtl/>
        </w:rPr>
      </w:pPr>
      <w:r>
        <w:rPr>
          <w:rFonts w:hint="cs"/>
          <w:rtl/>
        </w:rPr>
        <w:t>سيتم تقديم البروتوكول الخاص بالموقع في نيجيريا إلى اللجنة الوطنية للأخلاقيات مع المؤسسة المحلية الشريكة، ومركز جامعة نيجيريا للإدارة والتحكم البيئيين.</w:t>
      </w:r>
      <w:r>
        <w:t xml:space="preserve"> </w:t>
      </w:r>
    </w:p>
    <w:p w14:paraId="03EFC15F" w14:textId="20FB8EDF" w:rsidR="005A2FEA" w:rsidRPr="00E63DCC" w:rsidRDefault="005A2FEA" w:rsidP="00D756F9">
      <w:pPr>
        <w:pStyle w:val="Bulletlist"/>
        <w:bidi/>
        <w:rPr>
          <w:rtl/>
        </w:rPr>
      </w:pPr>
      <w:r>
        <w:rPr>
          <w:rFonts w:hint="cs"/>
          <w:rtl/>
        </w:rPr>
        <w:t>ستتم إعادة تقديم جميع الإضافات والمواصفات التي تم إجراؤها في البروتوكولات الخاصة بالموقع إلى لجنة مراجعة أخلاقيات الأبحاث التابعة لمنظمة الصحة العالمية في شكل تعديلات على البروتوكول الرئيسي للموافقة عليها من المراجعة.</w:t>
      </w:r>
    </w:p>
    <w:p w14:paraId="1CF5C079" w14:textId="43F17922" w:rsidR="00A62394" w:rsidRPr="00E63DCC" w:rsidRDefault="006D01CD" w:rsidP="00D756F9">
      <w:pPr>
        <w:pStyle w:val="Heading2"/>
        <w:bidi/>
        <w:rPr>
          <w:rtl/>
        </w:rPr>
      </w:pPr>
      <w:bookmarkStart w:id="84" w:name="_Toc245371502"/>
      <w:bookmarkStart w:id="85" w:name="_Toc283557235"/>
      <w:bookmarkStart w:id="86" w:name="_Toc67301070"/>
      <w:bookmarkStart w:id="87" w:name="_Toc71095514"/>
      <w:r>
        <w:rPr>
          <w:rFonts w:hint="cs"/>
          <w:rtl/>
        </w:rPr>
        <w:t>4.2 تقييم المخاطر والفوائد</w:t>
      </w:r>
      <w:bookmarkEnd w:id="84"/>
      <w:bookmarkEnd w:id="85"/>
      <w:r>
        <w:rPr>
          <w:rFonts w:hint="cs"/>
          <w:rtl/>
        </w:rPr>
        <w:t xml:space="preserve"> وحماية المشاركين</w:t>
      </w:r>
      <w:bookmarkEnd w:id="86"/>
      <w:bookmarkEnd w:id="87"/>
    </w:p>
    <w:p w14:paraId="020462D6" w14:textId="0072147A" w:rsidR="009D4794" w:rsidRPr="00E63DCC" w:rsidRDefault="009D4794" w:rsidP="00A5640C">
      <w:pPr>
        <w:bidi/>
        <w:rPr>
          <w:rtl/>
        </w:rPr>
      </w:pPr>
      <w:r>
        <w:rPr>
          <w:rFonts w:hint="cs"/>
          <w:rtl/>
        </w:rPr>
        <w:t>لا توجد مخاطر بدنية مباشرة مرتبطة بالدراسة البحثية الحالية، لأنها تتضمن مقابلات استبيانات فقط ولا توجد أنشطة رصد بيولوجي بشري أو تجارب سريرية.</w:t>
      </w:r>
      <w:r>
        <w:t xml:space="preserve"> </w:t>
      </w:r>
      <w:r>
        <w:rPr>
          <w:rFonts w:hint="cs"/>
          <w:rtl/>
        </w:rPr>
        <w:t>تم تحديد المخاطر المحتملة على المشاركين في الدراسة على النحو التالي.</w:t>
      </w:r>
    </w:p>
    <w:p w14:paraId="0AAC63C7" w14:textId="644676D6" w:rsidR="00D756F9" w:rsidRPr="00E63DCC" w:rsidRDefault="009D4794" w:rsidP="00C20934">
      <w:pPr>
        <w:pStyle w:val="Listnumbered"/>
        <w:bidi/>
        <w:rPr>
          <w:rtl/>
        </w:rPr>
      </w:pPr>
      <w:r>
        <w:rPr>
          <w:rFonts w:hint="cs"/>
          <w:rtl/>
        </w:rPr>
        <w:t>سيقوم فريق الدراسة بالمراقبة والإبلاغ عن شخص يماس نشاطًا غير قانوني أو عالي الخطورة يتعلق بالتعدين.</w:t>
      </w:r>
      <w:r>
        <w:t xml:space="preserve"> </w:t>
      </w:r>
      <w:r>
        <w:rPr>
          <w:rFonts w:hint="cs"/>
          <w:rtl/>
        </w:rPr>
        <w:t>قد يؤدي الكشف عن هوية الشخص المعني إلى فقدانه مصدر رزقه وحتى مواجهة الملاحقة الجنائية.</w:t>
      </w:r>
      <w:r>
        <w:t xml:space="preserve"> </w:t>
      </w:r>
      <w:r>
        <w:rPr>
          <w:rFonts w:hint="cs"/>
          <w:rtl/>
        </w:rPr>
        <w:t xml:space="preserve">بالإضافة إلى ذلك، كثيرًا ما يشارك الأطفال في أنشطة تعدين الذهب الحرفي والضيق النطاق، والتي تعتبر خطرة ولها خصائص يسري عليها تعريف أسوأ أشكال عمل الأطفال على النحو المحدد في اتفاقية منظمة العمل الدولية بشأن </w:t>
      </w:r>
      <w:r w:rsidR="009811BE">
        <w:rPr>
          <w:rFonts w:cs="Arial" w:hint="cs"/>
          <w:rtl/>
        </w:rPr>
        <w:t xml:space="preserve">حظر </w:t>
      </w:r>
      <w:r w:rsidR="009811BE" w:rsidRPr="00F35079">
        <w:rPr>
          <w:rFonts w:cs="Arial"/>
          <w:rtl/>
        </w:rPr>
        <w:t>أسوأ أشكال عمل الأطفال</w:t>
      </w:r>
      <w:r w:rsidR="009811BE">
        <w:rPr>
          <w:rFonts w:cs="Arial" w:hint="cs"/>
          <w:rtl/>
        </w:rPr>
        <w:t xml:space="preserve"> والقضاء عليها</w:t>
      </w:r>
      <w:r>
        <w:rPr>
          <w:rFonts w:hint="cs"/>
          <w:rtl/>
        </w:rPr>
        <w:t>، 1999 (رقم 182) </w:t>
      </w:r>
      <w:r>
        <w:rPr>
          <w:rFonts w:hint="cs"/>
          <w:i/>
          <w:iCs/>
          <w:rtl/>
        </w:rPr>
        <w:t>(15, 16)</w:t>
      </w:r>
      <w:r>
        <w:rPr>
          <w:rFonts w:hint="cs"/>
          <w:rtl/>
        </w:rPr>
        <w:t>.</w:t>
      </w:r>
      <w:r>
        <w:t xml:space="preserve"> </w:t>
      </w:r>
      <w:r>
        <w:rPr>
          <w:rFonts w:hint="cs"/>
          <w:rtl/>
        </w:rPr>
        <w:t>علاوة على ذلك، قد يكون هناك تضارب في المصالح بالنسبة للأشخاص المشاركين في جمع البيانات، والذين لديهم إمكانية الوصول إلى البيانات التي يحتمل أن تكون حساسة لعمال تعدين الذهب الحرفي والضيق النطاق وأفراد مجتمعهم.</w:t>
      </w:r>
      <w:r>
        <w:t xml:space="preserve"> </w:t>
      </w:r>
      <w:r>
        <w:rPr>
          <w:rFonts w:hint="cs"/>
          <w:rtl/>
        </w:rPr>
        <w:t>قد يؤدي هذا إلى تعرض السكان المستهدفين للمخاطر أو زيادة معدل التعرض.</w:t>
      </w:r>
      <w:r>
        <w:t xml:space="preserve"> </w:t>
      </w:r>
      <w:r>
        <w:rPr>
          <w:rFonts w:hint="cs"/>
          <w:rtl/>
        </w:rPr>
        <w:t>ومن ثم، ستكون هناك حاجة إلى حساسية خاصة من فرق الدراسة لهذه القضية، بالنظر إلى جانبها الأسري ومستويات الفقر المرتبطة بها.</w:t>
      </w:r>
    </w:p>
    <w:p w14:paraId="30C08D0E" w14:textId="5E0323FF" w:rsidR="00D756F9" w:rsidRPr="00E63DCC" w:rsidRDefault="009D4794" w:rsidP="00C20934">
      <w:pPr>
        <w:pStyle w:val="Listnumbered"/>
        <w:bidi/>
        <w:rPr>
          <w:rtl/>
        </w:rPr>
      </w:pPr>
      <w:r>
        <w:rPr>
          <w:rFonts w:hint="cs"/>
          <w:rtl/>
        </w:rPr>
        <w:t>من خلال إجراء الدراسة المقترحة، ستصبح الهيئات المحلية والوطنية أكثر وعيًا بالأنشطة غير القانونية والعالية الخطورة في مواقع تعدين الذهب الحرفي والضيق النطاق.</w:t>
      </w:r>
      <w:r>
        <w:t xml:space="preserve"> </w:t>
      </w:r>
      <w:r>
        <w:rPr>
          <w:rFonts w:hint="cs"/>
          <w:rtl/>
        </w:rPr>
        <w:t>ونتيجة لذلك، قد تبدأ الهيئات في إغلاق موقع تعدين الذهب الحرفي والضيق النطاق حيث أجريت الدراسة، مما قد يكون ضارًا من حيث فقدان الدخل أو فرص العمل للسكان المعنيين.</w:t>
      </w:r>
    </w:p>
    <w:p w14:paraId="277B495B" w14:textId="51CEE8AB" w:rsidR="009D4794" w:rsidRPr="00E63DCC" w:rsidRDefault="009D4794" w:rsidP="00C20934">
      <w:pPr>
        <w:pStyle w:val="Listnumbered"/>
        <w:bidi/>
        <w:rPr>
          <w:rtl/>
        </w:rPr>
      </w:pPr>
      <w:r>
        <w:rPr>
          <w:rFonts w:hint="cs"/>
          <w:rtl/>
        </w:rPr>
        <w:t>قد يتم وصم المشاركين في مناقشة مجموعة التركيز أو مقابلة المبلغ الرئيسي من قبل المجتمع أو أفراد الأسرة لتفاعلهم مع فريق الدراسة وكشفهم عن معلومات سرية.</w:t>
      </w:r>
    </w:p>
    <w:p w14:paraId="5E5B4EC0" w14:textId="4725E4F1" w:rsidR="00BE5686" w:rsidRPr="00E63DCC" w:rsidRDefault="00BE5686" w:rsidP="00A5640C">
      <w:pPr>
        <w:bidi/>
        <w:rPr>
          <w:rtl/>
        </w:rPr>
      </w:pPr>
      <w:r>
        <w:rPr>
          <w:rFonts w:hint="cs"/>
          <w:rtl/>
        </w:rPr>
        <w:lastRenderedPageBreak/>
        <w:t>[يُرجى تعديل الفقرات أعلاه وتطويرها بشكل أكبر من خلال تحديد المخاطر التي حددتها بالنسبة للمشاركين في دراستك.]</w:t>
      </w:r>
    </w:p>
    <w:p w14:paraId="58C76982" w14:textId="09CF4263" w:rsidR="00AA2CCB" w:rsidRPr="00E63DCC" w:rsidRDefault="009D4794" w:rsidP="00A5640C">
      <w:pPr>
        <w:bidi/>
        <w:rPr>
          <w:rtl/>
        </w:rPr>
      </w:pPr>
      <w:r>
        <w:rPr>
          <w:rFonts w:hint="cs"/>
          <w:rtl/>
        </w:rPr>
        <w:t>للتعامل مع المخاطر المذكورة أعلاه، سيتم الحصول على الموافقة الأخلاقية من [اسم المنظمة أو اللجنة أو المؤسسة].</w:t>
      </w:r>
      <w:r>
        <w:t xml:space="preserve"> </w:t>
      </w:r>
      <w:r>
        <w:rPr>
          <w:rFonts w:hint="cs"/>
          <w:rtl/>
        </w:rPr>
        <w:t>وفقًا لنهج مشاركة المجتمع وتوعيته كما هو موضح في القسم [3.4]، لن يتم الاتصال بالفئات السكانية المستهدفة إلا إذا تم اعتماد الدراسة بشكل كامل من قبل جميع الهيئات المعنية وأصحاب المصلحة ومقدمي الخدمات على مستوى المقاطعة والإقليم والمنطقة والمستوى المحلي.</w:t>
      </w:r>
      <w:r>
        <w:t xml:space="preserve"> </w:t>
      </w:r>
      <w:r>
        <w:rPr>
          <w:rFonts w:hint="cs"/>
          <w:rtl/>
        </w:rPr>
        <w:t>في حالة عدم قبول الدراسة البحثية وأنشطتها وإقرارها على جميع المستويات، لن يتم إجراء أي أنشطة دراسية.</w:t>
      </w:r>
      <w:r>
        <w:t xml:space="preserve"> </w:t>
      </w:r>
    </w:p>
    <w:p w14:paraId="5DD38721" w14:textId="43B7DB7C" w:rsidR="009D4794" w:rsidRPr="00E63DCC" w:rsidRDefault="009D4794" w:rsidP="00A5640C">
      <w:pPr>
        <w:bidi/>
        <w:rPr>
          <w:rtl/>
        </w:rPr>
      </w:pPr>
      <w:r>
        <w:rPr>
          <w:rFonts w:hint="cs"/>
          <w:rtl/>
        </w:rPr>
        <w:t>للزعماء والأفراد الحق في رفض المشاركة ومنع الدخول إلى مواقع تعدين الذهب الحرفي والضيق النطاق.</w:t>
      </w:r>
      <w:r>
        <w:t xml:space="preserve"> </w:t>
      </w:r>
      <w:r>
        <w:rPr>
          <w:rFonts w:hint="cs"/>
          <w:rtl/>
        </w:rPr>
        <w:t>نظرًا لأن المشاركة طوعية تمامًا، فلن يكون لرفض المشاركة أو إيقافها أي عواقب.</w:t>
      </w:r>
      <w:r>
        <w:t xml:space="preserve"> </w:t>
      </w:r>
      <w:r>
        <w:rPr>
          <w:rFonts w:hint="cs"/>
          <w:rtl/>
        </w:rPr>
        <w:t>وبالتالي، ومن خلال الموافقات التي تم الحصول عليها على مستويات هرمية أعلى، لا يتعرض عمال التعدين وأفراد أسرهم لخطر فقدان سبل عيشهم أو أي عواقب سلبية أو عيوب أخرى من خلال المشاركة في هذه الدراسة البحثية.</w:t>
      </w:r>
      <w:r>
        <w:t xml:space="preserve"> </w:t>
      </w:r>
    </w:p>
    <w:p w14:paraId="16F3F33A" w14:textId="6FF00807" w:rsidR="009D4794" w:rsidRPr="00E63DCC" w:rsidRDefault="009D4794" w:rsidP="00A5640C">
      <w:pPr>
        <w:bidi/>
        <w:rPr>
          <w:rtl/>
        </w:rPr>
      </w:pPr>
      <w:r>
        <w:rPr>
          <w:rFonts w:hint="cs"/>
          <w:rtl/>
        </w:rPr>
        <w:t>وبشكل أكثر تحديدًا، تم وضع التدابير الاحترازية التالية نظرًا لتوافقها مع المخاطر المذكورة أعلاه.</w:t>
      </w:r>
    </w:p>
    <w:p w14:paraId="27C6C3AD" w14:textId="15E8AD55" w:rsidR="009D4794" w:rsidRPr="00E63DCC" w:rsidRDefault="009D4794" w:rsidP="008C0AFA">
      <w:pPr>
        <w:pStyle w:val="Listnumbered"/>
        <w:numPr>
          <w:ilvl w:val="0"/>
          <w:numId w:val="40"/>
        </w:numPr>
        <w:bidi/>
        <w:rPr>
          <w:rtl/>
        </w:rPr>
      </w:pPr>
      <w:r>
        <w:rPr>
          <w:rFonts w:hint="cs"/>
          <w:rtl/>
        </w:rPr>
        <w:t>جميع البيانات التي يتم جمعها عن طريق الملاحظات المباشرة، ومقابلات المبلغين الرئيسيين ومناقشات مجموعات التركيز سرية تماما.</w:t>
      </w:r>
      <w:r>
        <w:t xml:space="preserve"> </w:t>
      </w:r>
      <w:r>
        <w:rPr>
          <w:rFonts w:hint="cs"/>
          <w:rtl/>
        </w:rPr>
        <w:t>سيتم الحصول على الأسماء فقط للحصول على الموافقة المستنيرة ولن يتم ربطها بأي من البيانات التي تم جمعها، أو تبادلها من دون موافقة المشاركين.</w:t>
      </w:r>
      <w:r>
        <w:t xml:space="preserve"> </w:t>
      </w:r>
      <w:r>
        <w:rPr>
          <w:rFonts w:hint="cs"/>
          <w:rtl/>
        </w:rPr>
        <w:t>لهذا السبب، سيتم تدريب المحاورين المحترفين والجمعيات المجتمعية ومنظمات المجتمع المدني على أهمية الخصوصية وحماية السرية ولن يكشفوا عن أي من المجتمعات التي شملها استطلاع الآراء، مما يضمن استقلاليتهم ويتجنب تضارب المصالح المحتمل.</w:t>
      </w:r>
      <w:r>
        <w:t xml:space="preserve"> </w:t>
      </w:r>
      <w:r>
        <w:rPr>
          <w:rFonts w:hint="cs"/>
          <w:rtl/>
        </w:rPr>
        <w:t>علاوة على ذلك، لن يتم ذكر أي أسماء تسمح بتحديد هوية أي فرد يمارس أي نشاط شديد الخطورة أو غير قانوني ولن تظهر الأسماء في أي توثيق - بما في ذلك توثيق المصور - لنتائج البحث (انظر أيضًا النقطة 4 أدناه).</w:t>
      </w:r>
      <w:r>
        <w:t xml:space="preserve"> </w:t>
      </w:r>
      <w:r>
        <w:rPr>
          <w:rFonts w:hint="cs"/>
          <w:rtl/>
        </w:rPr>
        <w:t>بالإضافة إلى ذلك، لن يتم جمع أي بيانات ذات مرجعية جغرافية تسمح بتتبع مواقع محددة حيث تجري أنشطة تعدين الذهب الحرفي والضيق النطاق.</w:t>
      </w:r>
      <w:r>
        <w:t xml:space="preserve"> </w:t>
      </w:r>
      <w:r>
        <w:rPr>
          <w:rFonts w:hint="cs"/>
          <w:rtl/>
        </w:rPr>
        <w:t>أخيرًا، سيتم الحفاظ على الخصوصية التامة لجميع البيانات وتخزينها على خادم آمن في [اسم المؤسسة]، والذي يمكن للباحثين فقط الوصول إليه.</w:t>
      </w:r>
    </w:p>
    <w:p w14:paraId="0F4D81E4" w14:textId="13055CAA" w:rsidR="009D4794" w:rsidRPr="00E63DCC" w:rsidRDefault="009D4794" w:rsidP="0060286A">
      <w:pPr>
        <w:pStyle w:val="Listnumbered"/>
        <w:numPr>
          <w:ilvl w:val="0"/>
          <w:numId w:val="40"/>
        </w:numPr>
        <w:bidi/>
        <w:rPr>
          <w:rtl/>
        </w:rPr>
      </w:pPr>
      <w:r>
        <w:rPr>
          <w:rFonts w:hint="cs"/>
          <w:rtl/>
        </w:rPr>
        <w:t>مواقع تعدين الذهب الحرفي والضيق النطاق حيث سيتم تنفيذ الدراسة مواقع معروفة جيدًا.</w:t>
      </w:r>
      <w:r>
        <w:t xml:space="preserve"> </w:t>
      </w:r>
      <w:r>
        <w:rPr>
          <w:rFonts w:hint="cs"/>
          <w:rtl/>
        </w:rPr>
        <w:t>عادة ما تكون الهيئات المحلية والوطنية على دراية كاملة بالأنشطة غير القانونية وعالية الخطورة المتبعة على نطاق واسع في هذه المواقع.</w:t>
      </w:r>
      <w:r>
        <w:t xml:space="preserve"> </w:t>
      </w:r>
      <w:r>
        <w:rPr>
          <w:rFonts w:hint="cs"/>
          <w:rtl/>
        </w:rPr>
        <w:t>وهذا يقلل من هذا الخطر إلى حد كبير، لأن الدراسة لن تقدم دليلاً على شيء يمكن استخدامه كتوثيق قانوني أو لم يكن معروفًا من قبل، ولكنها ستقدم وصفًا منهجيًا لذلك.</w:t>
      </w:r>
      <w:r>
        <w:t xml:space="preserve"> </w:t>
      </w:r>
      <w:r>
        <w:rPr>
          <w:rFonts w:hint="cs"/>
          <w:rtl/>
        </w:rPr>
        <w:t>علاوة على ذلك، إذا أرادت الهيئات حظر التعدين غير الرسمي عن الذهب، يمكنها فعل ذلك في أي وقت دون الحاجة إلى الدراسة، حيث إن العوامل الخارجية المتعلقة بالبيئة وصحة الإنسان معروفة جيدًا.</w:t>
      </w:r>
    </w:p>
    <w:p w14:paraId="2B7CCA97" w14:textId="25224911" w:rsidR="009D4794" w:rsidRPr="00E63DCC" w:rsidRDefault="009D4794" w:rsidP="00097E72">
      <w:pPr>
        <w:pStyle w:val="Listnumbered"/>
        <w:numPr>
          <w:ilvl w:val="0"/>
          <w:numId w:val="40"/>
        </w:numPr>
        <w:bidi/>
        <w:rPr>
          <w:rtl/>
        </w:rPr>
      </w:pPr>
      <w:r>
        <w:rPr>
          <w:rFonts w:hint="cs"/>
          <w:rtl/>
        </w:rPr>
        <w:t>سيتم توعية فريق الدراسة قبل إجراء الدراسة عن العلامات المحتملة للمقاومة أو النزاع لدى المشاركين في الدراسة أو المجتمعات التي تمت زيارتها.</w:t>
      </w:r>
      <w:r>
        <w:t xml:space="preserve"> </w:t>
      </w:r>
      <w:r>
        <w:rPr>
          <w:rFonts w:hint="cs"/>
          <w:rtl/>
        </w:rPr>
        <w:t>وتشمل هذه التوعية السلوك العدواني، أو طلبات مغادرة الموقع أو إحجام الأفراد عن المشاركة في مقابلات المبلغين الرئيسيين أو مناقشات المجموعات المركزة.</w:t>
      </w:r>
      <w:r>
        <w:t xml:space="preserve"> </w:t>
      </w:r>
      <w:r>
        <w:rPr>
          <w:rFonts w:hint="cs"/>
          <w:rtl/>
        </w:rPr>
        <w:t>في مثل هذه الظروف، يُنصح فريق الدراسة بعدم البدء أو بوقف جمع البيانات والانتقال إلى موقع آخر.</w:t>
      </w:r>
      <w:r>
        <w:t xml:space="preserve"> </w:t>
      </w:r>
      <w:r>
        <w:rPr>
          <w:rFonts w:hint="cs"/>
          <w:rtl/>
        </w:rPr>
        <w:t>إذا تمت زيارة المواقع حيث تجري أنشطة تعدين الذهب الحرفي، أو التي قد تتضمن أنشطة يحتمل أن تكون غير قانونية أو عالية الخطورة، فإن فريق الدراسة، برفقة أحد مسؤولي التعبئة لديه، سيطلب أولاً الإذن من الأشخاص الحاضرين لزيارة الموقع.</w:t>
      </w:r>
      <w:r>
        <w:t xml:space="preserve"> </w:t>
      </w:r>
      <w:r>
        <w:rPr>
          <w:rFonts w:hint="cs"/>
          <w:rtl/>
        </w:rPr>
        <w:t>إذا تم منح الإذن، فسيظل هذا يمنح الأفراد الوقت للاستعداد أو يتيح لمن يفضلون عدم التواجد أن يتجنبوا يوم أو وقت زيارة الموقع.</w:t>
      </w:r>
      <w:r>
        <w:t xml:space="preserve"> </w:t>
      </w:r>
    </w:p>
    <w:p w14:paraId="6D74D69F" w14:textId="123711B5" w:rsidR="009D4794" w:rsidRPr="00E63DCC" w:rsidRDefault="009D4794" w:rsidP="00485FC7">
      <w:pPr>
        <w:pStyle w:val="Listnumbered"/>
        <w:numPr>
          <w:ilvl w:val="0"/>
          <w:numId w:val="40"/>
        </w:numPr>
        <w:bidi/>
        <w:rPr>
          <w:rtl/>
        </w:rPr>
      </w:pPr>
      <w:r>
        <w:rPr>
          <w:rFonts w:hint="cs"/>
          <w:rtl/>
        </w:rPr>
        <w:t>لن يتم التقاط أي صور ما لم يوافق الأفراد الحاضرون صراحةً.</w:t>
      </w:r>
      <w:r>
        <w:t xml:space="preserve"> </w:t>
      </w:r>
      <w:r>
        <w:rPr>
          <w:rFonts w:hint="cs"/>
          <w:rtl/>
        </w:rPr>
        <w:t>قبل زيارة كل موقع، سيتم طلب الإذن بالتقاط الصور في الموقع من اتحاد عمال التعدين المحليين.</w:t>
      </w:r>
      <w:r>
        <w:t xml:space="preserve"> </w:t>
      </w:r>
      <w:r>
        <w:rPr>
          <w:rFonts w:hint="cs"/>
          <w:rtl/>
        </w:rPr>
        <w:t>سيُطلب من كل فرد تم تصويره التوقيع على استمارة موافقة مستنيرة (انظر الملحق 13 للدليل تفصيلي) قبل التقاط الصورة، مع إعطاء الموافقة على التقاط الصورة ومنح الباحثين خيار استخدام الصورة في أغراض النشر.</w:t>
      </w:r>
      <w:r>
        <w:t xml:space="preserve"> </w:t>
      </w:r>
      <w:r>
        <w:rPr>
          <w:rFonts w:hint="cs"/>
          <w:rtl/>
        </w:rPr>
        <w:t>بالنسبة للأفراد الذين تقل أعمارهم عن 18 عامًا، يحق للوالد أو الوصي القانوني التوقيع على استمارة الموافقة المستنيرة.</w:t>
      </w:r>
      <w:r>
        <w:t xml:space="preserve"> </w:t>
      </w:r>
      <w:r>
        <w:rPr>
          <w:rFonts w:hint="cs"/>
          <w:rtl/>
        </w:rPr>
        <w:t>لن يتم نشر أي أسماء مع الصورة.</w:t>
      </w:r>
    </w:p>
    <w:p w14:paraId="4C0BBD90" w14:textId="65AEFD75" w:rsidR="009D4794" w:rsidRPr="00E63DCC" w:rsidRDefault="009D4794" w:rsidP="00A5640C">
      <w:pPr>
        <w:bidi/>
        <w:rPr>
          <w:rtl/>
        </w:rPr>
      </w:pPr>
      <w:r>
        <w:rPr>
          <w:rFonts w:hint="cs"/>
          <w:rtl/>
        </w:rPr>
        <w:t>علاوة على ذلك، ولضمان أن يكون العمال المحليون على دراية كافية بطبيعة البحث والمخاطر المحتملة للمشاركة، سيتم اتباع نهج تشاركي للتفاعل مع المجتمع في جميع مراحل الدراسة البحثية (انظر القسم [3.4] حول أنشطة تعبئة المجتمع والتوعية والملحق 8 للدليل التفصيلي حول خطة التعبئة الاجتماعية).</w:t>
      </w:r>
    </w:p>
    <w:p w14:paraId="5D4DA687" w14:textId="1D4E85DE" w:rsidR="00714E15" w:rsidRPr="00E63DCC" w:rsidRDefault="00714E15" w:rsidP="00A5640C">
      <w:pPr>
        <w:bidi/>
        <w:rPr>
          <w:rtl/>
        </w:rPr>
      </w:pPr>
      <w:r>
        <w:rPr>
          <w:rFonts w:hint="cs"/>
          <w:rtl/>
        </w:rPr>
        <w:t>[يُرجى تعديل الفقرات أعلاه وتطويرها بشكل أكبر من خلال وصف التدابير الاحترازية التي سيتم اتخاذها للاستجابة للمخاطر المحددة في دراستك.]</w:t>
      </w:r>
    </w:p>
    <w:p w14:paraId="79741A85" w14:textId="43008F73" w:rsidR="009D4794" w:rsidRPr="00E63DCC" w:rsidRDefault="009D4794" w:rsidP="00A5640C">
      <w:pPr>
        <w:bidi/>
        <w:rPr>
          <w:rtl/>
        </w:rPr>
      </w:pPr>
      <w:r>
        <w:rPr>
          <w:rFonts w:hint="cs"/>
          <w:rtl/>
        </w:rPr>
        <w:t>في حال حضور أحد المشاركين في الدراسة وهو يعاني مشاكل صحية واضحة، فستتم إحالته إلى النظام الصحي المحلي.</w:t>
      </w:r>
      <w:r>
        <w:t xml:space="preserve"> </w:t>
      </w:r>
      <w:r>
        <w:rPr>
          <w:rFonts w:hint="cs"/>
          <w:rtl/>
        </w:rPr>
        <w:t xml:space="preserve">على مستوى الرعاية الصحية الأولية، قد يكون مقدمو الرعاية الأولية مثل الممرضات والعاملين الصحيين في المجتمع وأطباء الأسرة العموميين </w:t>
      </w:r>
      <w:r>
        <w:rPr>
          <w:rFonts w:hint="cs"/>
          <w:rtl/>
        </w:rPr>
        <w:lastRenderedPageBreak/>
        <w:t>هم نقطة الاتصال الأولى للعمال المعرضين للمخاطر الصحية المرتبطة بالتعدين الحرفي والضيق النطاق.</w:t>
      </w:r>
      <w:r>
        <w:t xml:space="preserve"> </w:t>
      </w:r>
      <w:r>
        <w:rPr>
          <w:rFonts w:hint="cs"/>
          <w:rtl/>
        </w:rPr>
        <w:t>سيتم تعزيز هذه الخدمات كجزء من سياق برنامج العمل الوطني الأوسع، مما يوفر إطار السياسات والخدمات اللازمة للتعامل مع الوضع الصحي واحتياجات مجتمع التعدين بشكل مناسب.</w:t>
      </w:r>
      <w:r>
        <w:t xml:space="preserve"> </w:t>
      </w:r>
    </w:p>
    <w:p w14:paraId="762A5F04" w14:textId="6774B71B" w:rsidR="009D4794" w:rsidRPr="00E63DCC" w:rsidRDefault="009D4794" w:rsidP="00A5640C">
      <w:pPr>
        <w:bidi/>
        <w:rPr>
          <w:rtl/>
        </w:rPr>
      </w:pPr>
      <w:r>
        <w:rPr>
          <w:rFonts w:hint="cs"/>
          <w:rtl/>
        </w:rPr>
        <w:t xml:space="preserve">في ما يتعلق بالفوائد المحتملة والتوقعات المحتملة من المشاركين بأن تتحسن الخدمات المتوفرة كاستجابة لاحتياجاتهم الصحية المحددة أو تحسين أي قيود أخرى </w:t>
      </w:r>
      <w:proofErr w:type="spellStart"/>
      <w:r>
        <w:rPr>
          <w:rFonts w:hint="cs"/>
          <w:rtl/>
        </w:rPr>
        <w:t>يواجهونها</w:t>
      </w:r>
      <w:proofErr w:type="spellEnd"/>
      <w:r>
        <w:rPr>
          <w:rFonts w:hint="cs"/>
          <w:rtl/>
        </w:rPr>
        <w:t>، سيكون من المهم للغاية التوعية بفوائد المشاركة في الدراسة على وجه التحديد، وكذلك توضيح ما لا تهدف الدراسة إلى القيام به. يعني هذا على وجه التحديد أنه سيتم توضيح أنه لا يمكن توقع فوائد مباشرة من الدراسة، مثل الرعاية الطبية أو معدات الحماية.</w:t>
      </w:r>
      <w:r>
        <w:t xml:space="preserve"> </w:t>
      </w:r>
    </w:p>
    <w:p w14:paraId="528C22A6" w14:textId="5DF47F0B" w:rsidR="009D4794" w:rsidRPr="00E63DCC" w:rsidRDefault="009D4794" w:rsidP="00A5640C">
      <w:pPr>
        <w:bidi/>
        <w:rPr>
          <w:rtl/>
        </w:rPr>
      </w:pPr>
      <w:r>
        <w:rPr>
          <w:rFonts w:hint="cs"/>
          <w:rtl/>
        </w:rPr>
        <w:t>على أنه توجد العديد من الفوائد والآثار المتوقعة لهذا العمل.</w:t>
      </w:r>
    </w:p>
    <w:p w14:paraId="651A206E" w14:textId="14732866" w:rsidR="009D4794" w:rsidRPr="00E63DCC" w:rsidRDefault="009D4794" w:rsidP="008C23A0">
      <w:pPr>
        <w:pStyle w:val="Listnumbered"/>
        <w:numPr>
          <w:ilvl w:val="0"/>
          <w:numId w:val="41"/>
        </w:numPr>
        <w:bidi/>
        <w:rPr>
          <w:rtl/>
        </w:rPr>
      </w:pPr>
      <w:r>
        <w:rPr>
          <w:rFonts w:hint="cs"/>
          <w:rtl/>
        </w:rPr>
        <w:t>أصبحت المجتمعات أكثر وعيًا بالمخاطر الصحية المرتبطة بتعدين الذهب الحرفي والضيق النطاق ولديها معرفة أفضل بها وتتلقى الدعم من حكوماتها لإدخال ممارسات أكثر أمانًا والحد من الأنشطة عالية المخاطر (القضاء على اندماج الركاز الكامل، وحرق الملغم أو الملغم المعالج في الهواء الطلق، وحرق الملغم في المناطق السكنية، وترشيح الزئبق في الرواسب).</w:t>
      </w:r>
    </w:p>
    <w:p w14:paraId="365B0BE8" w14:textId="3E99037B" w:rsidR="009D4794" w:rsidRPr="00E63DCC" w:rsidRDefault="009D4794" w:rsidP="00654FF0">
      <w:pPr>
        <w:pStyle w:val="Listnumbered"/>
        <w:bidi/>
        <w:rPr>
          <w:rtl/>
        </w:rPr>
      </w:pPr>
      <w:r>
        <w:rPr>
          <w:rFonts w:hint="cs"/>
          <w:rtl/>
        </w:rPr>
        <w:t>لن تقتصر فائدة المشروع على رفع قدرة ووعي عمال التعدين، ولكنه سيساهم أيضًا في رفعهما لدى العاملين في مجال الرعاية الصحية ومنشآت الرعاية الصحية في إطار تعزيز الصحة الأوسع وتعبئة المجتمع.</w:t>
      </w:r>
      <w:r>
        <w:t xml:space="preserve"> </w:t>
      </w:r>
      <w:r>
        <w:rPr>
          <w:rFonts w:hint="cs"/>
          <w:rtl/>
        </w:rPr>
        <w:t>سيمكّن ذلك الخدمات الصحية من التوصل إلى فهم أفضل للمخاوف الصحية المتعلقة بالتعرض لتعدين الذهب الحرفي والضيق النطاق، ومن القدرة على تتبع النتائج الصحية والإشارة إلى المخاطر.</w:t>
      </w:r>
    </w:p>
    <w:p w14:paraId="5DE484FE" w14:textId="1AE924BE" w:rsidR="009D4794" w:rsidRPr="00E63DCC" w:rsidRDefault="002C5905" w:rsidP="00654FF0">
      <w:pPr>
        <w:pStyle w:val="Listnumbered"/>
        <w:bidi/>
        <w:rPr>
          <w:rtl/>
        </w:rPr>
      </w:pPr>
      <w:r>
        <w:rPr>
          <w:rFonts w:hint="cs"/>
          <w:rtl/>
        </w:rPr>
        <w:t>على المدى المتوسط، وفي إطار استراتيجية الصحة العامة التي سيتم وضعها (عملية خطة العمل الوطنية)، يمكن تجهيز هذه المنشآت بخدمات وعلاجات أفضل.</w:t>
      </w:r>
      <w:r>
        <w:t xml:space="preserve"> </w:t>
      </w:r>
      <w:r>
        <w:rPr>
          <w:rFonts w:hint="cs"/>
          <w:rtl/>
        </w:rPr>
        <w:t>في حين أن التعرض للزئبق، والوقاية المحتملة منه، سيكونان سمة أساسية في تقييم الوضع الصحي، سيتم أخذ النطاق الكامل للمشاكل الصحية المحتملة التي تؤثر على مجتمعات تعدين الذهب الحرفي والضيق النطاق في الاعتبار.</w:t>
      </w:r>
    </w:p>
    <w:p w14:paraId="22CEE994" w14:textId="040BECC5" w:rsidR="009D4794" w:rsidRPr="00E63DCC" w:rsidRDefault="009D4794" w:rsidP="00654FF0">
      <w:pPr>
        <w:pStyle w:val="Listnumbered"/>
        <w:bidi/>
        <w:rPr>
          <w:rtl/>
        </w:rPr>
      </w:pPr>
      <w:r>
        <w:rPr>
          <w:rFonts w:hint="cs"/>
          <w:rtl/>
        </w:rPr>
        <w:t>على المدى الطويل، يمكن أن تكون التأثيرات والفوائد المحتملة لهذا العمل أوسع بكثير.</w:t>
      </w:r>
      <w:r>
        <w:t xml:space="preserve"> </w:t>
      </w:r>
      <w:r>
        <w:rPr>
          <w:rFonts w:hint="cs"/>
          <w:rtl/>
        </w:rPr>
        <w:t>في إطار عملية خطة العمل الوطنية، يمكن أن تساهم الدراسة في العملية السياسية لتعزيز بدائل الزئبق في تعدين الذهب الحرفي والضيق النطاق، وإنشاء روابط مع الشركاء وأصحاب المصلحة الآخرين (مثل الوزارات المختلفة) لتشجيع قوانين ولوائح قطاع التعدين الجديدة (بما في ذلك إضفاء الطابع الرسمي على تعدين الذهب) ولتعزيز استراتيجيات التواصل مع المجتمع وإشراك أصحاب المصلحة.</w:t>
      </w:r>
      <w:r>
        <w:t xml:space="preserve"> </w:t>
      </w:r>
      <w:r>
        <w:rPr>
          <w:rFonts w:hint="cs"/>
          <w:rtl/>
        </w:rPr>
        <w:t xml:space="preserve">ونتيجة لهذه العملية، سيتم تحديد الأهداف الوطنية لخفض استخدام الزئبق وخارطة طريق لعمليات الخفض من خلال وضع برنامج العمل الوطني (وفقًا للمرفق "ج" لاتفاقية </w:t>
      </w:r>
      <w:proofErr w:type="spellStart"/>
      <w:r>
        <w:rPr>
          <w:rFonts w:hint="cs"/>
          <w:rtl/>
        </w:rPr>
        <w:t>ميناماتا</w:t>
      </w:r>
      <w:proofErr w:type="spellEnd"/>
      <w:r>
        <w:rPr>
          <w:rFonts w:hint="cs"/>
          <w:rtl/>
        </w:rPr>
        <w:t>).</w:t>
      </w:r>
      <w:r>
        <w:t xml:space="preserve"> </w:t>
      </w:r>
    </w:p>
    <w:p w14:paraId="76E39C6B" w14:textId="4DACCA92" w:rsidR="009D4794" w:rsidRPr="00E63DCC" w:rsidRDefault="009D4794" w:rsidP="00A5640C">
      <w:pPr>
        <w:bidi/>
        <w:rPr>
          <w:rtl/>
        </w:rPr>
      </w:pPr>
      <w:r>
        <w:rPr>
          <w:rFonts w:hint="cs"/>
          <w:rtl/>
        </w:rPr>
        <w:t>ومن ثم، فإن الفوائد التي تتوقعها المجتمعات على المدى الطويل تتعلق بعملية سياسية أكبر تحفزها نتائج الدراسة ويمكن أن تساعد في معالجة الأسباب الجذرية والعوامل الاجتماعية والاقتصادية التي تعرض هذه المجتمعات للخطر.</w:t>
      </w:r>
      <w:r>
        <w:t xml:space="preserve"> </w:t>
      </w:r>
    </w:p>
    <w:p w14:paraId="14F4A3EB" w14:textId="5937D5C6" w:rsidR="009D4794" w:rsidRPr="00E63DCC" w:rsidRDefault="009D4794" w:rsidP="00A5640C">
      <w:pPr>
        <w:bidi/>
        <w:rPr>
          <w:rtl/>
        </w:rPr>
      </w:pPr>
      <w:r>
        <w:rPr>
          <w:rFonts w:hint="cs"/>
          <w:rtl/>
        </w:rPr>
        <w:t>من خلال تقييم تحديات الصحة العامة في مجتمعات تعدين الذهب الحرفي والضيق النطاق واستعداد النظام الصحي المحلي للاستجابة، فإن القصد من الصياغة اللاحقة لاستراتيجيات الصحة العامة في إطار كل خطة عمل وطنية هو الاستهداف المباشر للفجوات المحددة التي تواجهها مجتمعات التعدين من حيث المعرفة غير الكافية أو الممارسات عالية المخاطر، أو عدم كفاية الوصول إلى الخدمات الصحية الجيدة، أو ضعف النظام الصحي وعدم كفاية قدرته على الاستجابة للتحديات الصحية المحددة والتعامل معها في مجتمعات التعدين.</w:t>
      </w:r>
      <w:r>
        <w:t xml:space="preserve"> </w:t>
      </w:r>
      <w:r>
        <w:rPr>
          <w:rFonts w:hint="cs"/>
          <w:rtl/>
        </w:rPr>
        <w:t>ومن ثم، فإن الفوائد المتوقعة من قبل عمال التعدين ومجتمعات تعدين الذهب الحرفي والضيق النطاق سوف تعتمد على تحسين قدرة قطاع الصحة على معالجة مشاكل جمع البيانات وعلى رصد المعلومات حول التعرض للزئبق أو الأمراض والإصابات المتعلقة بالتعدين، وعلى توفير الوصول إلى التدريب للعاملين الصحيين ليتعاملوا مع المخاوف الصحية الإضافية لفئات السكان في مجال التعدين، وعلى تحسين التواصل بشأن المخاطر وحماية الفئات السكانية المعرضة للخطر.</w:t>
      </w:r>
    </w:p>
    <w:p w14:paraId="0299C6F7" w14:textId="1B156B2D" w:rsidR="001C6B9B" w:rsidRPr="00E63DCC" w:rsidRDefault="001C6B9B" w:rsidP="00A5640C">
      <w:pPr>
        <w:bidi/>
        <w:rPr>
          <w:rtl/>
        </w:rPr>
      </w:pPr>
      <w:r>
        <w:rPr>
          <w:rFonts w:hint="cs"/>
          <w:rtl/>
        </w:rPr>
        <w:t>[يُرجى تعديل الفقرات أعلاه وتطويرها من خلال تحديد الفوائد المتوقعة على المدى القصير والمتوسط والطويل من دراستك.]</w:t>
      </w:r>
    </w:p>
    <w:p w14:paraId="08412958" w14:textId="3ADFA71C" w:rsidR="009D4794" w:rsidRPr="00E63DCC" w:rsidRDefault="009D4794" w:rsidP="00A5640C">
      <w:pPr>
        <w:bidi/>
        <w:rPr>
          <w:rtl/>
        </w:rPr>
      </w:pPr>
      <w:r>
        <w:rPr>
          <w:rFonts w:hint="cs"/>
          <w:rtl/>
        </w:rPr>
        <w:t>سيحرص فريق الدراسة على انتهاز الفرصة ليشرحوا لمجتمعات تعدين الذهب الحرفي والضيق النطاق فوائد أنشطة استبيان الآراء ويكرروا الرسائل في إطار استراتيجية النشر (انظر أيضًا القسم [3.4] حول أنشطة تعبئة المجتمع وتوعيته).</w:t>
      </w:r>
      <w:r>
        <w:t xml:space="preserve"> </w:t>
      </w:r>
      <w:r>
        <w:rPr>
          <w:rFonts w:hint="cs"/>
          <w:rtl/>
        </w:rPr>
        <w:t>بعد الانتهاء من استبيان الآراء، ستقدم منظمات المجتمع المدني النتائج الرئيسية إلى مجتمعات تعدين الذهب الحرفي والضيق النطاق وستشرح بشكل أكبر كيفية استخدام البيانات بعد ذلك لوضع استراتيجيات الصحة العامة (انظر أيضًا القسم [5.3] حول تعقيبات المجتمع).</w:t>
      </w:r>
    </w:p>
    <w:p w14:paraId="4184A9BA" w14:textId="5BBE5C05" w:rsidR="009D4794" w:rsidRPr="00E63DCC" w:rsidRDefault="009D4794" w:rsidP="00A5640C">
      <w:pPr>
        <w:bidi/>
        <w:rPr>
          <w:rtl/>
        </w:rPr>
      </w:pPr>
      <w:r>
        <w:rPr>
          <w:rFonts w:hint="cs"/>
          <w:rtl/>
        </w:rPr>
        <w:lastRenderedPageBreak/>
        <w:t>علاوة على ذلك، قد تكون هناك فوائد محتملة لجمعيات التعدين وأصحاب المناجم، وخاصةً من خلال إنشاء برنامج عمل وطني.</w:t>
      </w:r>
      <w:r>
        <w:t xml:space="preserve"> </w:t>
      </w:r>
      <w:r>
        <w:rPr>
          <w:rFonts w:hint="cs"/>
          <w:rtl/>
        </w:rPr>
        <w:t>ستحدد خطة العمل الوطنية العوامل الرئيسية للحد من استخدام الزئبق.</w:t>
      </w:r>
      <w:r>
        <w:t xml:space="preserve"> </w:t>
      </w:r>
      <w:r>
        <w:rPr>
          <w:rFonts w:hint="cs"/>
          <w:rtl/>
        </w:rPr>
        <w:t>قد يساهم تعزيز دور ومسؤولية وحوافز جمعيات التعدين وأصحاب المناجم وتقليل آثارهم الصحية والبيئية والاجتماعية في تحسين الفوائد لمجتمعات تعدين الذهب الحرفي والضيق النطاق.</w:t>
      </w:r>
    </w:p>
    <w:p w14:paraId="6741617C" w14:textId="3395A043" w:rsidR="005E28AC" w:rsidRPr="00E63DCC" w:rsidRDefault="005E28AC" w:rsidP="00A5640C">
      <w:pPr>
        <w:bidi/>
        <w:rPr>
          <w:rtl/>
        </w:rPr>
      </w:pPr>
      <w:r>
        <w:rPr>
          <w:rFonts w:hint="cs"/>
          <w:rtl/>
        </w:rPr>
        <w:t>[يُرجى تطوير الفقرتين الأخيرتين بشكل أكبر من خلال تعديلهما وتكييفهما وفقًا لاستراتيجية التعبئة الاجتماعية لديك.]</w:t>
      </w:r>
    </w:p>
    <w:p w14:paraId="4E990DCF" w14:textId="311AAD6C" w:rsidR="008C07CF" w:rsidRPr="00E63DCC" w:rsidRDefault="00806713" w:rsidP="003F62DA">
      <w:pPr>
        <w:pStyle w:val="Heading2"/>
        <w:bidi/>
        <w:rPr>
          <w:rtl/>
        </w:rPr>
      </w:pPr>
      <w:bookmarkStart w:id="88" w:name="_Toc245371491"/>
      <w:bookmarkStart w:id="89" w:name="_Toc283557228"/>
      <w:bookmarkStart w:id="90" w:name="_Toc67301071"/>
      <w:bookmarkStart w:id="91" w:name="_Toc71095515"/>
      <w:r>
        <w:rPr>
          <w:rFonts w:hint="cs"/>
          <w:rtl/>
        </w:rPr>
        <w:t>4.3 معلومات المشاركين والموافقة المستنيرة</w:t>
      </w:r>
      <w:bookmarkEnd w:id="88"/>
      <w:bookmarkEnd w:id="89"/>
      <w:bookmarkEnd w:id="90"/>
      <w:bookmarkEnd w:id="91"/>
    </w:p>
    <w:p w14:paraId="3FEBD290" w14:textId="423EFC3E" w:rsidR="00D90AD1" w:rsidRPr="00E63DCC" w:rsidRDefault="00D90AD1" w:rsidP="00A5640C">
      <w:pPr>
        <w:bidi/>
        <w:rPr>
          <w:rtl/>
        </w:rPr>
      </w:pPr>
      <w:r>
        <w:rPr>
          <w:rFonts w:hint="cs"/>
          <w:rtl/>
        </w:rPr>
        <w:t>سيتم إبلاغ المشاركين بالتفصيل بشأن البحث المخطط، بالإضافة إلى مخاطر المشاركة وفوائدها، وسيتم الحصول على موافقة مستنيرة من جميع المشاركين في الدراسة كتابيًا (انظر الملحقين 4 و5 للدليل تفصيلي).</w:t>
      </w:r>
      <w:r>
        <w:t xml:space="preserve"> </w:t>
      </w:r>
      <w:r>
        <w:rPr>
          <w:rFonts w:hint="cs"/>
          <w:rtl/>
        </w:rPr>
        <w:t>ستصف المعلومات المبادئ الأساسية التي تضمن حقوق المشاركين في الأبحاث على البشر: المشاركة التطوعية، والسرية وحماية الهوية، والفوائد والمخاطر، والمبالغ وطرق التعويض وتوقيته، وآلية الإبلاغ بالنتائج.</w:t>
      </w:r>
      <w:r>
        <w:t xml:space="preserve"> </w:t>
      </w:r>
      <w:r>
        <w:rPr>
          <w:rFonts w:hint="cs"/>
          <w:rtl/>
        </w:rPr>
        <w:t>يتولى فريق العمل الميداني إدارة الموافقة قبل تطبيق الاستبيانات.</w:t>
      </w:r>
      <w:r>
        <w:t xml:space="preserve"> </w:t>
      </w:r>
      <w:r>
        <w:rPr>
          <w:rFonts w:hint="cs"/>
          <w:rtl/>
        </w:rPr>
        <w:t>ستُتاح للمشاركين الفرصة لطرح الأسئلة، وسيتولى الفريق الميداني الإجابة عنها.</w:t>
      </w:r>
      <w:r>
        <w:t xml:space="preserve"> </w:t>
      </w:r>
      <w:r>
        <w:rPr>
          <w:rFonts w:hint="cs"/>
          <w:rtl/>
        </w:rPr>
        <w:t>يحق للمشاركين الانسحاب من الدراسة في أي لحظة دون أي عواقب، وفي هذه الحالة يتم حذف المعلومات التي تم الحصول عليها بالفعل.</w:t>
      </w:r>
    </w:p>
    <w:p w14:paraId="368176DF" w14:textId="27B48D2D" w:rsidR="00236A47" w:rsidRPr="00E63DCC" w:rsidRDefault="00236A47" w:rsidP="00A5640C">
      <w:pPr>
        <w:bidi/>
        <w:rPr>
          <w:rtl/>
        </w:rPr>
      </w:pPr>
      <w:r>
        <w:rPr>
          <w:rFonts w:hint="cs"/>
          <w:rtl/>
        </w:rPr>
        <w:t>[يُرجى تعديل الفقرة أعلاه حول كيفية إبلاغ المشاركين بإجراءات الدراسة، بما في ذلك المخاطر والفوائد المرتبطة بها، وكيفية الحصول على موافقة المشاركين.]</w:t>
      </w:r>
    </w:p>
    <w:p w14:paraId="7FB76E2C" w14:textId="679BA943" w:rsidR="008C07CF" w:rsidRPr="00E63DCC" w:rsidRDefault="002D4D69" w:rsidP="0007618A">
      <w:pPr>
        <w:pStyle w:val="Heading2"/>
        <w:bidi/>
        <w:rPr>
          <w:rtl/>
        </w:rPr>
      </w:pPr>
      <w:bookmarkStart w:id="92" w:name="_Toc245371494"/>
      <w:bookmarkStart w:id="93" w:name="_Toc254360587"/>
      <w:bookmarkStart w:id="94" w:name="_Toc283557231"/>
      <w:bookmarkStart w:id="95" w:name="_Toc67301072"/>
      <w:bookmarkStart w:id="96" w:name="_Toc71095516"/>
      <w:r>
        <w:rPr>
          <w:rFonts w:hint="cs"/>
          <w:rtl/>
        </w:rPr>
        <w:t>4.4 التعديلات</w:t>
      </w:r>
      <w:bookmarkEnd w:id="92"/>
      <w:bookmarkEnd w:id="93"/>
      <w:r>
        <w:rPr>
          <w:rFonts w:hint="cs"/>
          <w:rtl/>
        </w:rPr>
        <w:t xml:space="preserve"> والتغييرات</w:t>
      </w:r>
      <w:bookmarkEnd w:id="94"/>
      <w:bookmarkEnd w:id="95"/>
      <w:bookmarkEnd w:id="96"/>
    </w:p>
    <w:p w14:paraId="44F75754" w14:textId="3949A10F" w:rsidR="00FE3D23" w:rsidRPr="00E63DCC" w:rsidRDefault="00FE3D23" w:rsidP="00A5640C">
      <w:pPr>
        <w:bidi/>
        <w:rPr>
          <w:rtl/>
        </w:rPr>
      </w:pPr>
      <w:r>
        <w:rPr>
          <w:rFonts w:hint="cs"/>
          <w:rtl/>
        </w:rPr>
        <w:t>في حالة الحاجة إلى إجراء تغييرات كبيرة على خطة المشروع، سيتم إعادة تقديم بروتوكول الدراسة الكامل إلى [اسم لجنة الأخلاقيات] و[المؤسسات أو الوزارات المحلية والوطنية، اعتمادًا على متطلباتك للحصول على الموافقة الأخلاقية].</w:t>
      </w:r>
    </w:p>
    <w:p w14:paraId="395D0328" w14:textId="77777777" w:rsidR="000626E8" w:rsidRPr="00E63DCC" w:rsidRDefault="000626E8">
      <w:pPr>
        <w:bidi/>
        <w:spacing w:after="0" w:line="240" w:lineRule="auto"/>
        <w:rPr>
          <w:rFonts w:eastAsia="Times New Roman"/>
          <w:b/>
          <w:bCs/>
          <w:color w:val="800000"/>
          <w:kern w:val="32"/>
          <w:sz w:val="32"/>
          <w:szCs w:val="28"/>
          <w:rtl/>
        </w:rPr>
      </w:pPr>
      <w:bookmarkStart w:id="97" w:name="_Ref482777011"/>
      <w:r>
        <w:rPr>
          <w:rFonts w:hint="cs"/>
          <w:rtl/>
        </w:rPr>
        <w:br w:type="page"/>
      </w:r>
    </w:p>
    <w:p w14:paraId="5EF3C8A4" w14:textId="15560480" w:rsidR="008901A7" w:rsidRPr="00E63DCC" w:rsidRDefault="000626E8" w:rsidP="00A5640C">
      <w:pPr>
        <w:pStyle w:val="Heading1"/>
        <w:bidi/>
        <w:rPr>
          <w:rtl/>
        </w:rPr>
      </w:pPr>
      <w:bookmarkStart w:id="98" w:name="_Toc67301073"/>
      <w:bookmarkStart w:id="99" w:name="_Toc71095517"/>
      <w:r>
        <w:rPr>
          <w:rFonts w:hint="cs"/>
          <w:rtl/>
        </w:rPr>
        <w:lastRenderedPageBreak/>
        <w:t>5.</w:t>
      </w:r>
      <w:r>
        <w:rPr>
          <w:rFonts w:hint="cs"/>
          <w:rtl/>
        </w:rPr>
        <w:tab/>
        <w:t>الإبلاغ والنشر</w:t>
      </w:r>
      <w:bookmarkEnd w:id="77"/>
      <w:bookmarkEnd w:id="97"/>
      <w:bookmarkEnd w:id="98"/>
      <w:bookmarkEnd w:id="99"/>
    </w:p>
    <w:p w14:paraId="4965181D" w14:textId="1FF77140" w:rsidR="008901A7" w:rsidRPr="00E63DCC" w:rsidRDefault="000626E8" w:rsidP="00A5640C">
      <w:pPr>
        <w:pStyle w:val="Heading2"/>
        <w:bidi/>
        <w:rPr>
          <w:rtl/>
        </w:rPr>
      </w:pPr>
      <w:bookmarkStart w:id="100" w:name="_Toc283557272"/>
      <w:bookmarkStart w:id="101" w:name="_Toc67301074"/>
      <w:bookmarkStart w:id="102" w:name="_Toc71095518"/>
      <w:r>
        <w:rPr>
          <w:rFonts w:hint="cs"/>
          <w:rtl/>
        </w:rPr>
        <w:t>5.1 الإبلاغ بالنتائج</w:t>
      </w:r>
      <w:bookmarkEnd w:id="100"/>
      <w:bookmarkEnd w:id="101"/>
      <w:bookmarkEnd w:id="102"/>
    </w:p>
    <w:p w14:paraId="248A9664" w14:textId="5D25305D" w:rsidR="00FE3D23" w:rsidRPr="00E63DCC" w:rsidRDefault="00FE3D23" w:rsidP="00A5640C">
      <w:pPr>
        <w:bidi/>
        <w:rPr>
          <w:rtl/>
        </w:rPr>
      </w:pPr>
      <w:r>
        <w:rPr>
          <w:rFonts w:hint="cs"/>
          <w:rtl/>
        </w:rPr>
        <w:t>سيتم الإبلاغ بنتائج الدراسة وتوزيعها بأشكال متعددة مصممة لمختلف صناع القرار وأصحاب المصلحة، على النحو التالي.</w:t>
      </w:r>
    </w:p>
    <w:p w14:paraId="73B84D1F" w14:textId="6213B149" w:rsidR="00FE3D23" w:rsidRPr="00E63DCC" w:rsidRDefault="00FE3D23" w:rsidP="00704C70">
      <w:pPr>
        <w:pStyle w:val="Listnumbered"/>
        <w:numPr>
          <w:ilvl w:val="0"/>
          <w:numId w:val="42"/>
        </w:numPr>
        <w:bidi/>
        <w:rPr>
          <w:rtl/>
        </w:rPr>
      </w:pPr>
      <w:r>
        <w:rPr>
          <w:rFonts w:hint="cs"/>
          <w:rtl/>
        </w:rPr>
        <w:t>سيرفع أعضاء منظمات المجتمع المدني تقاريرهم إلى فريق المشروع خلال مرحلة التعبئة لأنشطة التوعية.</w:t>
      </w:r>
      <w:r>
        <w:t xml:space="preserve"> </w:t>
      </w:r>
      <w:r>
        <w:rPr>
          <w:rFonts w:hint="cs"/>
          <w:rtl/>
        </w:rPr>
        <w:t>ستنعقد جلسات الملاحظات هذه خلال فترة استبيان الآراء بشكل منتظم وفقًا للخطط الأسبوعية لضمان تنفيذ الأنشطة على النحو المنشود.</w:t>
      </w:r>
      <w:r>
        <w:t xml:space="preserve"> </w:t>
      </w:r>
      <w:r>
        <w:rPr>
          <w:rFonts w:hint="cs"/>
          <w:rtl/>
        </w:rPr>
        <w:t>سيتم بعد ذلك تنشيط شبكة ناشطي التعبئة نفسها لنشر النتائج الرئيسية للدراسة وستقدم نظرة عامة على الردود الناتجة.</w:t>
      </w:r>
      <w:r>
        <w:t xml:space="preserve"> </w:t>
      </w:r>
    </w:p>
    <w:p w14:paraId="00739374" w14:textId="3CFBF87A" w:rsidR="00FE3D23" w:rsidRPr="00E63DCC" w:rsidRDefault="00FE3D23" w:rsidP="00704C70">
      <w:pPr>
        <w:pStyle w:val="Listnumbered"/>
        <w:numPr>
          <w:ilvl w:val="0"/>
          <w:numId w:val="42"/>
        </w:numPr>
        <w:bidi/>
        <w:rPr>
          <w:rtl/>
        </w:rPr>
      </w:pPr>
      <w:r>
        <w:rPr>
          <w:rFonts w:hint="cs"/>
          <w:rtl/>
        </w:rPr>
        <w:t xml:space="preserve">سيعد فريق الدراسة تقريرًا وطنيًا يعرض النتائج ومجموعة من التوصيات المصممة خصيصًا لتناسب [اسم البلد]، والتي بدورها ستُستخدم لوضع استراتيجيات الصحة العامة المعنية بتعدين الذهب الحرفي والضيق النطاق كما هو مطلوب بموجب اتفاقية </w:t>
      </w:r>
      <w:proofErr w:type="spellStart"/>
      <w:r>
        <w:rPr>
          <w:rFonts w:hint="cs"/>
          <w:rtl/>
        </w:rPr>
        <w:t>ميناماتا</w:t>
      </w:r>
      <w:proofErr w:type="spellEnd"/>
      <w:r>
        <w:rPr>
          <w:rFonts w:hint="cs"/>
          <w:rtl/>
        </w:rPr>
        <w:t>.</w:t>
      </w:r>
    </w:p>
    <w:p w14:paraId="47F40562" w14:textId="12303C84" w:rsidR="00FE3D23" w:rsidRPr="00E63DCC" w:rsidRDefault="00FE3D23" w:rsidP="00A5640C">
      <w:pPr>
        <w:bidi/>
        <w:rPr>
          <w:rtl/>
        </w:rPr>
      </w:pPr>
      <w:r>
        <w:rPr>
          <w:rFonts w:hint="cs"/>
          <w:rtl/>
        </w:rPr>
        <w:t>بالنسبة للتقرير الوطني، سيتم دمج نتائج تقييمات الوضع الصحي السريعة مع تقييم القدرات المؤسسية، والذي يشكل محورًا ثانيًا في المشروع ككل.</w:t>
      </w:r>
      <w:r>
        <w:t xml:space="preserve"> </w:t>
      </w:r>
    </w:p>
    <w:p w14:paraId="5F8E43C1" w14:textId="10A37F80" w:rsidR="00FE3D23" w:rsidRPr="00E63DCC" w:rsidRDefault="00FE3D23" w:rsidP="00A5640C">
      <w:pPr>
        <w:bidi/>
        <w:rPr>
          <w:rtl/>
        </w:rPr>
      </w:pPr>
      <w:r>
        <w:rPr>
          <w:rFonts w:hint="cs"/>
          <w:rtl/>
        </w:rPr>
        <w:t>[يُرجى تعديل أي خطوة أو إزالتها أو إضافتها لإعطاء نظرة عامة على كيفية الإبلاغ بنتائجك.</w:t>
      </w:r>
      <w:r>
        <w:t xml:space="preserve"> </w:t>
      </w:r>
      <w:r>
        <w:rPr>
          <w:rFonts w:hint="cs"/>
          <w:rtl/>
        </w:rPr>
        <w:t>قم بإدراج الوزارات أو المنظمات التي يجب الحصول على موافقتها من أجل نشر التقرير الوطني إذا كان ذلك ممكنًا.]</w:t>
      </w:r>
    </w:p>
    <w:p w14:paraId="34F5B550" w14:textId="0A3E0D59" w:rsidR="005929B4" w:rsidRPr="00E63DCC" w:rsidRDefault="00521FA3" w:rsidP="00A5640C">
      <w:pPr>
        <w:pStyle w:val="Heading2"/>
        <w:bidi/>
        <w:rPr>
          <w:rtl/>
        </w:rPr>
      </w:pPr>
      <w:bookmarkStart w:id="103" w:name="_Toc67301075"/>
      <w:bookmarkStart w:id="104" w:name="_Toc71095519"/>
      <w:r>
        <w:rPr>
          <w:rFonts w:hint="cs"/>
          <w:rtl/>
        </w:rPr>
        <w:t>5.2 ورشة عمل أصحاب المصلحة الوطنيين</w:t>
      </w:r>
      <w:bookmarkEnd w:id="103"/>
      <w:bookmarkEnd w:id="104"/>
    </w:p>
    <w:p w14:paraId="21B85247" w14:textId="60DD7320" w:rsidR="00E425A2" w:rsidRPr="00E63DCC" w:rsidRDefault="00FE3D23" w:rsidP="00A5640C">
      <w:pPr>
        <w:bidi/>
        <w:rPr>
          <w:rtl/>
        </w:rPr>
      </w:pPr>
      <w:bookmarkStart w:id="105" w:name="_Hlk46748161"/>
      <w:r>
        <w:rPr>
          <w:rFonts w:hint="cs"/>
          <w:rtl/>
        </w:rPr>
        <w:t xml:space="preserve">سيتم تقديم النتائج والتوصيات الواردة في التقارير المذكورة أعلاه في ورشة عمل وطنية لأصحاب المصلحة مدتها يوم واحد وستتولى تنظيمها </w:t>
      </w:r>
      <w:bookmarkEnd w:id="105"/>
      <w:r>
        <w:rPr>
          <w:rFonts w:hint="cs"/>
          <w:rtl/>
        </w:rPr>
        <w:t>[اسم الوزارة أو المنظمة التي ستكون مسؤولة عن تنظيم ورشة عمل أصحاب المصلحة].</w:t>
      </w:r>
      <w:r>
        <w:t xml:space="preserve"> </w:t>
      </w:r>
      <w:r>
        <w:rPr>
          <w:rFonts w:hint="cs"/>
          <w:rtl/>
        </w:rPr>
        <w:t>يشمل أصحاب المصلحة ممثلين عن [اسم جميع الوزارات والمنظمات ومنظمات المجتمع المدني وجمعيات تعدين الذهب الحرفي والضيق النطاق التي سترسل ممثلين].</w:t>
      </w:r>
    </w:p>
    <w:p w14:paraId="63B65638" w14:textId="2A6C242E" w:rsidR="008C3DF8" w:rsidRPr="00E63DCC" w:rsidRDefault="008C3DF8" w:rsidP="00A5640C">
      <w:pPr>
        <w:bidi/>
        <w:rPr>
          <w:rtl/>
        </w:rPr>
      </w:pPr>
      <w:r>
        <w:rPr>
          <w:rFonts w:hint="cs"/>
          <w:rtl/>
        </w:rPr>
        <w:t>في كل دولة، سينعقد اجتماع ليوم واحد بعد الانتهاء من التقارير والتوصيات القُطرية.</w:t>
      </w:r>
      <w:r>
        <w:t xml:space="preserve"> </w:t>
      </w:r>
      <w:r>
        <w:rPr>
          <w:rFonts w:hint="cs"/>
          <w:rtl/>
        </w:rPr>
        <w:t>ستتم دعوة المشاركين إلى اجتماعات النشر الوطنية، والتي ستضم صانعي القرار على المستويات الوطنية والإقليمية والمحلية في مجالات الصحة والبيئة والتعدين (انظر الملحقين 11 و12 للدليل التفصيلي).</w:t>
      </w:r>
    </w:p>
    <w:p w14:paraId="6141B5DE" w14:textId="32B4A9C1" w:rsidR="00E425A2" w:rsidRPr="00482197" w:rsidRDefault="00E425A2" w:rsidP="00704C70">
      <w:pPr>
        <w:pStyle w:val="Normalboldhead"/>
        <w:bidi/>
        <w:rPr>
          <w:b w:val="0"/>
          <w:bCs/>
          <w:rtl/>
        </w:rPr>
      </w:pPr>
      <w:r w:rsidRPr="00482197">
        <w:rPr>
          <w:rFonts w:hint="cs"/>
          <w:b w:val="0"/>
          <w:bCs/>
          <w:rtl/>
        </w:rPr>
        <w:t xml:space="preserve">مثال من نيجيريا [يُحذف في </w:t>
      </w:r>
      <w:r w:rsidR="00910488">
        <w:rPr>
          <w:rFonts w:hint="cs"/>
          <w:b w:val="0"/>
          <w:bCs/>
          <w:rtl/>
        </w:rPr>
        <w:t>الإصدار النهائي</w:t>
      </w:r>
      <w:r w:rsidRPr="00482197">
        <w:rPr>
          <w:rFonts w:hint="cs"/>
          <w:b w:val="0"/>
          <w:bCs/>
          <w:rtl/>
        </w:rPr>
        <w:t xml:space="preserve"> من بروتوكول دراستك]:</w:t>
      </w:r>
    </w:p>
    <w:p w14:paraId="6D0E3DCD" w14:textId="54688B68" w:rsidR="00FE3D23" w:rsidRPr="00E63DCC" w:rsidRDefault="00E425A2" w:rsidP="00A5640C">
      <w:pPr>
        <w:bidi/>
        <w:rPr>
          <w:rtl/>
        </w:rPr>
      </w:pPr>
      <w:r>
        <w:rPr>
          <w:rFonts w:hint="cs"/>
          <w:rtl/>
        </w:rPr>
        <w:t>سيتم تقديم النتائج والتوصيات الواردة في التقارير المذكورة أعلاه في ورشة عمل وطنية لأصحاب المصلحة مدتها يوم واحد ستنظمها الوزارة الفيدرالية للصحة، والوزارة الفيدرالية لتطوير المناجم والصلب، والوزارة الفيدرالية للبيئة، ومجموعة التوجيه الوطنية لتعدين الذهب الحرفي والضيق النطاق، وممثلو وزارتي الصحة والبيئة بالولاية في أماكن الدراسة أو مواقعها، والموظفون القُطريون في منظمة الصحة العالمية، وبرنامج الأمم المتحدة للبيئة (</w:t>
      </w:r>
      <w:r>
        <w:t>UNEP</w:t>
      </w:r>
      <w:r>
        <w:rPr>
          <w:rFonts w:hint="cs"/>
          <w:rtl/>
        </w:rPr>
        <w:t>) ومنظمة الأمم المتحدة للتنمية الصناعية، وقادة جمعيات التعدين، وجمعية مسؤولي الصحة البيئية في نيجيريا، ومنظمات المجتمع المدني العاملة في مجالات التعدين وغيرها من الأطراف ذات الصلة كما تم تحديدها أثناء تنفيذ الدراسة.</w:t>
      </w:r>
      <w:r>
        <w:t xml:space="preserve"> </w:t>
      </w:r>
    </w:p>
    <w:p w14:paraId="4F0DE21E" w14:textId="71CA24B4" w:rsidR="004918D1" w:rsidRPr="00E63DCC" w:rsidRDefault="00704C70" w:rsidP="00A5640C">
      <w:pPr>
        <w:pStyle w:val="Heading2"/>
        <w:bidi/>
        <w:rPr>
          <w:rtl/>
        </w:rPr>
      </w:pPr>
      <w:bookmarkStart w:id="106" w:name="_Toc67301076"/>
      <w:bookmarkStart w:id="107" w:name="_Toc71095520"/>
      <w:r>
        <w:rPr>
          <w:rFonts w:hint="cs"/>
          <w:rtl/>
        </w:rPr>
        <w:t>5.3 تعقيبات المجتمع</w:t>
      </w:r>
      <w:bookmarkEnd w:id="106"/>
      <w:bookmarkEnd w:id="107"/>
    </w:p>
    <w:p w14:paraId="0904B4D0" w14:textId="5FB8EBE5" w:rsidR="008C3DF8" w:rsidRPr="00E63DCC" w:rsidRDefault="008C3DF8" w:rsidP="00A5640C">
      <w:pPr>
        <w:bidi/>
        <w:rPr>
          <w:rFonts w:cs="Arial"/>
          <w:rtl/>
        </w:rPr>
      </w:pPr>
      <w:r>
        <w:rPr>
          <w:rFonts w:hint="cs"/>
          <w:rtl/>
        </w:rPr>
        <w:t>سيحرص الباحثون على إعادة النتائج إلى أماكن الدراسة ومشاركتها في اجتماعات المجتمع أو في الفعاليات المحلية في المجتمع حيث جرت أنشطة استبيان الآراء من خلال شبكة من ناشطي التعبئة المجتمعيين في [اسم الولايات أو المناطق التي أجريت فيها الدراسة] (انظر كذلك القسم [3.4] بشأن أنشطة تعبئة المجتمع وتوعيته).</w:t>
      </w:r>
      <w:r>
        <w:t xml:space="preserve"> </w:t>
      </w:r>
      <w:r>
        <w:rPr>
          <w:rFonts w:hint="cs"/>
          <w:rtl/>
        </w:rPr>
        <w:t xml:space="preserve">من المتوقع أن يكون هذا جزءًا لا يتجزأ من استراتيجية الصحة العامة التي سيتم وضعها (انظر المادة 7 والملحق "ج" لاتفاقية </w:t>
      </w:r>
      <w:proofErr w:type="spellStart"/>
      <w:r>
        <w:rPr>
          <w:rFonts w:hint="cs"/>
          <w:rtl/>
        </w:rPr>
        <w:t>ميناماتا</w:t>
      </w:r>
      <w:proofErr w:type="spellEnd"/>
      <w:r>
        <w:rPr>
          <w:rFonts w:hint="cs"/>
          <w:rtl/>
        </w:rPr>
        <w:t xml:space="preserve">، كما هما مدرجان في الملحقين "أ" </w:t>
      </w:r>
      <w:proofErr w:type="spellStart"/>
      <w:r>
        <w:rPr>
          <w:rFonts w:hint="cs"/>
          <w:rtl/>
        </w:rPr>
        <w:t>و"ب</w:t>
      </w:r>
      <w:proofErr w:type="spellEnd"/>
      <w:r>
        <w:rPr>
          <w:rFonts w:hint="cs"/>
          <w:rtl/>
        </w:rPr>
        <w:t>" من هذه الوثيقة).</w:t>
      </w:r>
      <w:r>
        <w:t xml:space="preserve"> </w:t>
      </w:r>
      <w:r>
        <w:rPr>
          <w:rFonts w:hint="cs"/>
          <w:rtl/>
        </w:rPr>
        <w:t>لهذا الغرض، سيتم وضع مواد تعليمية ومواد اتصال مناسبة وتوفيرها بدعم من وزارة الصحة، وسيتم تخصيص وقت كافٍ لتسهيل المناقشات المفتوحة حول النتائج في فعاليات النشر.</w:t>
      </w:r>
    </w:p>
    <w:p w14:paraId="4CCD5D59" w14:textId="49D86808" w:rsidR="008C3DF8" w:rsidRPr="00E63DCC" w:rsidRDefault="008C3DF8" w:rsidP="00A5640C">
      <w:pPr>
        <w:bidi/>
        <w:rPr>
          <w:rFonts w:cs="Arial"/>
          <w:rtl/>
        </w:rPr>
      </w:pPr>
      <w:r>
        <w:rPr>
          <w:rFonts w:hint="cs"/>
          <w:rtl/>
        </w:rPr>
        <w:t>الفريق المشترك للتعبئة المجتمعية الذي يتألف من ممثلين أو موظفين في [اسم جميع منظمات المجتمع المدني المشاركة] سيعمل بشكل وثيق مع زعماء المجتمع والمجتمع المحيط بمواقع تعدين الذهب الحرفي والضيق النطاق لتيسير جمع تعقيبات شاملة.</w:t>
      </w:r>
    </w:p>
    <w:p w14:paraId="45D0F744" w14:textId="0699603C" w:rsidR="008C3DF8" w:rsidRPr="00E63DCC" w:rsidRDefault="008C3DF8" w:rsidP="00A5640C">
      <w:pPr>
        <w:bidi/>
        <w:rPr>
          <w:rFonts w:cs="Arial"/>
          <w:rtl/>
        </w:rPr>
      </w:pPr>
      <w:r>
        <w:rPr>
          <w:rFonts w:hint="cs"/>
          <w:rtl/>
        </w:rPr>
        <w:lastRenderedPageBreak/>
        <w:t>بالإضافة إلى ذلك، سيشجع فريق الدراسة بشدة [الهيئة الوطنية الرائدة في مجال تعدين الذهب الحرفي والضيق النطاق] على إجراء مشاورات مفتوحة ومستمرة مع منظمات المجتمع المدني، وعمال تعدين الذهب الحرفي والضيق النطاق، ومالكي المناجم لصياغة خطط عمل مجدية، وتحديد أولويات استراتيجيات التدخل ووضعها بناءً على نتائج الدراسة، ومراقبة التحسينات.</w:t>
      </w:r>
      <w:r>
        <w:t xml:space="preserve"> </w:t>
      </w:r>
    </w:p>
    <w:p w14:paraId="2FA7146E" w14:textId="53CFCFEC" w:rsidR="008C3DF8" w:rsidRPr="00E63DCC" w:rsidRDefault="008C3DF8" w:rsidP="00A5640C">
      <w:pPr>
        <w:bidi/>
        <w:rPr>
          <w:rFonts w:cs="Arial"/>
          <w:rtl/>
        </w:rPr>
      </w:pPr>
      <w:r>
        <w:rPr>
          <w:rFonts w:hint="cs"/>
          <w:rtl/>
        </w:rPr>
        <w:t>نظرًا لأن قطاع تعدين الذهب الحرفي والضيق النطاق مرتبط ارتباطًا وثيقًا بمشاكل التنمية الاقتصادية والفقر المعقدة، يُنظر إلى خطط العمل الوطنية الخاصة بالتعدين على أنها حلول مرنة خاصة بكل بلد.</w:t>
      </w:r>
      <w:r>
        <w:t xml:space="preserve"> </w:t>
      </w:r>
      <w:r>
        <w:rPr>
          <w:rFonts w:hint="cs"/>
          <w:rtl/>
        </w:rPr>
        <w:t>تعتمد عملية خطة العمل الوطنية بأكملها على إشراك أصحاب المصلحة وخطة المشاركة للتأكد من أن الحلول المتوخاة تتوافق مع احتياجات عمال التعدين </w:t>
      </w:r>
      <w:r>
        <w:rPr>
          <w:rFonts w:hint="cs"/>
          <w:i/>
          <w:iCs/>
          <w:rtl/>
        </w:rPr>
        <w:t>(17)</w:t>
      </w:r>
      <w:r>
        <w:rPr>
          <w:rFonts w:hint="cs"/>
          <w:rtl/>
        </w:rPr>
        <w:t>.</w:t>
      </w:r>
      <w:r>
        <w:t xml:space="preserve"> </w:t>
      </w:r>
      <w:r>
        <w:rPr>
          <w:rFonts w:hint="cs"/>
          <w:rtl/>
        </w:rPr>
        <w:t>ستقدم هذه العملية الشاملة لمنظمات المجتمع المدني والمجتمعات الفرصة لإيجاد حلول تكيفية محلية لتحسين ظروف عمل عمال التعدين وتخفيف المخاطر، كما هو موضح في القسم [4.2] بشأن تقييم المخاطر / الفوائد وحماية المشاركين.</w:t>
      </w:r>
    </w:p>
    <w:p w14:paraId="01A19478" w14:textId="76E8ECDE" w:rsidR="00FB3F3B" w:rsidRPr="00E63DCC" w:rsidRDefault="00FB3F3B" w:rsidP="00A5640C">
      <w:pPr>
        <w:bidi/>
        <w:rPr>
          <w:rFonts w:cs="Arial"/>
          <w:rtl/>
        </w:rPr>
      </w:pPr>
      <w:r>
        <w:rPr>
          <w:rFonts w:hint="cs"/>
          <w:rtl/>
        </w:rPr>
        <w:t>[يُرجى تعديل نص القسم 5.3 وتكييفه لشرح استراتيجيتك لتحقيق تعقيبات المجتمع.]</w:t>
      </w:r>
    </w:p>
    <w:p w14:paraId="0DB20394" w14:textId="2DD71797" w:rsidR="00B973D8" w:rsidRPr="00E63DCC" w:rsidRDefault="00460795" w:rsidP="00A5640C">
      <w:pPr>
        <w:pStyle w:val="Heading2"/>
        <w:bidi/>
        <w:rPr>
          <w:rtl/>
        </w:rPr>
      </w:pPr>
      <w:bookmarkStart w:id="108" w:name="_Toc67301077"/>
      <w:bookmarkStart w:id="109" w:name="_Toc71095521"/>
      <w:bookmarkStart w:id="110" w:name="_Toc245371593"/>
      <w:r>
        <w:rPr>
          <w:rFonts w:hint="cs"/>
          <w:rtl/>
        </w:rPr>
        <w:t>5.4 عملية صنع القرار وآثار السياسات</w:t>
      </w:r>
      <w:bookmarkEnd w:id="108"/>
      <w:bookmarkEnd w:id="109"/>
    </w:p>
    <w:p w14:paraId="157638A5" w14:textId="5626088B" w:rsidR="00FB3F3B" w:rsidRPr="00E63DCC" w:rsidRDefault="00FB3F3B" w:rsidP="00A5640C">
      <w:pPr>
        <w:bidi/>
        <w:rPr>
          <w:rtl/>
        </w:rPr>
      </w:pPr>
      <w:bookmarkStart w:id="111" w:name="_Toc283557274"/>
      <w:r>
        <w:rPr>
          <w:rFonts w:hint="cs"/>
          <w:rtl/>
        </w:rPr>
        <w:t xml:space="preserve">ستغذي نتائج الدراسة عملية وضع خطة العمل الوطنية الشاملة، وستساهم بشكل خاص في وضع استراتيجية للصحة العامة بشأن تعدين الذهب الحرفي والضيق النطاق، وفقًا لاتفاقية </w:t>
      </w:r>
      <w:proofErr w:type="spellStart"/>
      <w:r>
        <w:rPr>
          <w:rFonts w:hint="cs"/>
          <w:rtl/>
        </w:rPr>
        <w:t>ميناماتا</w:t>
      </w:r>
      <w:proofErr w:type="spellEnd"/>
      <w:r>
        <w:rPr>
          <w:rFonts w:hint="cs"/>
          <w:rtl/>
        </w:rPr>
        <w:t>.</w:t>
      </w:r>
      <w:r>
        <w:t xml:space="preserve"> </w:t>
      </w:r>
      <w:r>
        <w:rPr>
          <w:rFonts w:hint="cs"/>
          <w:rtl/>
        </w:rPr>
        <w:t>ستوجه النتائج وزارات الصحة عند وضع استراتيجيات الصحة العامة اللازمة.</w:t>
      </w:r>
      <w:r>
        <w:t xml:space="preserve"> </w:t>
      </w:r>
      <w:r>
        <w:rPr>
          <w:rFonts w:hint="cs"/>
          <w:rtl/>
        </w:rPr>
        <w:t>ينبغي أن تهدف عملية صنع القرار والعملية السياسية إلى ضمان اتخاذ خطوات من جانب الحكومات لإضفاء الطابع الرسمي على أنشطة تعدين الذهب الحرفي والضيق النطاق ولضمان صحة ورفاهية الأشخاص الذين يعتمدون عليها في كسب عيشهم.</w:t>
      </w:r>
      <w:r>
        <w:t xml:space="preserve"> </w:t>
      </w:r>
    </w:p>
    <w:p w14:paraId="7367D60C" w14:textId="0E8CE128" w:rsidR="00FB3F3B" w:rsidRPr="00E63DCC" w:rsidRDefault="00FB3F3B" w:rsidP="00A5640C">
      <w:pPr>
        <w:bidi/>
        <w:rPr>
          <w:rtl/>
        </w:rPr>
      </w:pPr>
      <w:r>
        <w:rPr>
          <w:rFonts w:hint="cs"/>
          <w:rtl/>
        </w:rPr>
        <w:t>ينبغي النظر في الخطوتين التاليتين لتسهيل عملية صنع القرار التشاركية ضمن عملية وضع خطة العمل الوطنية الشاملة.</w:t>
      </w:r>
    </w:p>
    <w:p w14:paraId="718B8ED4" w14:textId="2034AEDE" w:rsidR="00FB3F3B" w:rsidRPr="00E63DCC" w:rsidRDefault="00A31535" w:rsidP="0089364B">
      <w:pPr>
        <w:pStyle w:val="Listnumbered"/>
        <w:numPr>
          <w:ilvl w:val="0"/>
          <w:numId w:val="43"/>
        </w:numPr>
        <w:bidi/>
        <w:rPr>
          <w:rtl/>
        </w:rPr>
      </w:pPr>
      <w:r>
        <w:rPr>
          <w:rFonts w:hint="cs"/>
          <w:rtl/>
        </w:rPr>
        <w:t>ينبغي ضمان مشاركة المجتمع في وضع خطة العمل الوطنية وفي إنشاء أطر السياسات من خلال عمليات استشارية متكررة مع منظمات المجتمع المدني، وعمال تعدين الذهب الحرفي والضيق النطاق وأصحاب المصلحة المعنيين الآخرين ([اسم الوزارات ذات الصلة]) من أجل تقليل التعرض والإصابة بالنسبة للمرض والإصابة المتعلقة بالتعدين، والأهم من ذلك، تأييد تقنيات الإنتاج الأنظف.</w:t>
      </w:r>
      <w:r>
        <w:t xml:space="preserve"> </w:t>
      </w:r>
    </w:p>
    <w:p w14:paraId="11F3609E" w14:textId="714B0CE6" w:rsidR="00FB3F3B" w:rsidRPr="00E63DCC" w:rsidRDefault="00FF5B41" w:rsidP="0089364B">
      <w:pPr>
        <w:pStyle w:val="Listnumbered"/>
        <w:numPr>
          <w:ilvl w:val="0"/>
          <w:numId w:val="43"/>
        </w:numPr>
        <w:bidi/>
        <w:rPr>
          <w:rtl/>
        </w:rPr>
      </w:pPr>
      <w:r>
        <w:rPr>
          <w:rFonts w:hint="cs"/>
          <w:rtl/>
        </w:rPr>
        <w:t>عند وضع خطة العمل الوطنية وإنشاء أطر للسياسة بناءً على نتائج البحث، ستكون مشاركة المجتمع المحلي والمجتمع المدني وإشراك أصحاب المصلحة المتعددين أمرًا بالغ الأهمية في الدعم وإضفاء الطابع الرسمي، إلى أقصى حد ممكن، على قطاع تعدين الذهب الحرفي والضيق النطاق لمساعدة الصناعة على التطور بطريقة تحافظ على البيئة ومستدامة.</w:t>
      </w:r>
    </w:p>
    <w:p w14:paraId="42D82BD7" w14:textId="519AA9EA" w:rsidR="00FB3F3B" w:rsidRPr="00E63DCC" w:rsidRDefault="00FB3F3B" w:rsidP="00A5640C">
      <w:pPr>
        <w:bidi/>
        <w:rPr>
          <w:rtl/>
        </w:rPr>
      </w:pPr>
      <w:r>
        <w:rPr>
          <w:rFonts w:hint="cs"/>
          <w:rtl/>
        </w:rPr>
        <w:t>توفر خطة العمل الوطنية الفرصة لتحديد أساس واضح وشفاف لدعم ووضع وتنفيذ الأنشطة الخاصة بالحد من استخدام الزئبق والانبعاثات والمواد الناتجة من تعدين الذهب الحرفي والضيق النطاق والقضاء عليهم (حيثما أمكن ذلك) على المستوى الوطني.</w:t>
      </w:r>
      <w:r>
        <w:t xml:space="preserve"> </w:t>
      </w:r>
      <w:r>
        <w:rPr>
          <w:rFonts w:hint="cs"/>
          <w:rtl/>
        </w:rPr>
        <w:t>في حالة عدم وجود مؤسسة موجودة مسبقًا لأداء هذا الدور، ستقوم مجموعة عمل مشتركة بين القطاعات بتوجيه عملية وضع برنامج العمل الوطني عبر كل مراحلها والتأكد من وجود تخطيط وإدارة مناسبين للمشروع في جميع مراحل العملية.</w:t>
      </w:r>
      <w:r>
        <w:t xml:space="preserve"> </w:t>
      </w:r>
      <w:r>
        <w:rPr>
          <w:rFonts w:hint="cs"/>
          <w:rtl/>
        </w:rPr>
        <w:t>ستضم مجموعة العمل أعضاء من وزارات أو إدارات حكومية مختلفة (البيئة والتعدين والمالية والتجارة والصحة العامة)، بما في ذلك ممثلو الحكومة المحلية، وسوف تتفاعل مع الوكالات الأخرى ذات الصلة حسب الاقتضاء.</w:t>
      </w:r>
      <w:r>
        <w:t xml:space="preserve"> </w:t>
      </w:r>
      <w:r>
        <w:rPr>
          <w:rFonts w:hint="cs"/>
          <w:rtl/>
        </w:rPr>
        <w:t>يسمح هذا النهج المشترك بين القطاعات بالمسؤولية المشتركة عن تعزيز بدائل الزئبق وإضفاء الطابع الرسمي على قطاع تعدين الذهب الحرفي والضيق النطاق.</w:t>
      </w:r>
      <w:r>
        <w:t xml:space="preserve"> </w:t>
      </w:r>
      <w:r>
        <w:rPr>
          <w:rFonts w:hint="cs"/>
          <w:rtl/>
        </w:rPr>
        <w:t>وسيشمل المشاركون أعضاء معنيين من المجتمع المدني من ذوي الخبرة والمعرفة في قطاع تعدين الذهب الحرفي والضيق النطاق، بما في ذلك ممثلون عن مجموعات التعدين الحرفي والضيق النطاق والمنظمات المجتمعية.</w:t>
      </w:r>
      <w:r>
        <w:t xml:space="preserve"> </w:t>
      </w:r>
      <w:r>
        <w:rPr>
          <w:rFonts w:hint="cs"/>
          <w:rtl/>
        </w:rPr>
        <w:t>وهذا يضمن مراعاة جميع جوانب تعدين الذهب الحرفي والضيق النطاق أثناء وضع خطة العمل الوطنية، ويضمن أن خطة العمل الوطنية تتوافق مع أنشطة الوزارات أو الإدارات الأخرى أو برامجها.</w:t>
      </w:r>
      <w:r>
        <w:t xml:space="preserve"> </w:t>
      </w:r>
      <w:r>
        <w:rPr>
          <w:rFonts w:hint="cs"/>
          <w:rtl/>
        </w:rPr>
        <w:t>إن الأدوار والمسؤوليات النسبية لأعضاء مجموعة العمل محددة بوضوح منذ البداية.</w:t>
      </w:r>
    </w:p>
    <w:p w14:paraId="533B9415" w14:textId="06862F6F" w:rsidR="00FB3F3B" w:rsidRPr="00E63DCC" w:rsidRDefault="00FB3F3B" w:rsidP="00A5640C">
      <w:pPr>
        <w:bidi/>
        <w:rPr>
          <w:rtl/>
        </w:rPr>
      </w:pPr>
      <w:r>
        <w:rPr>
          <w:rFonts w:hint="cs"/>
          <w:rtl/>
        </w:rPr>
        <w:t>[يُرجى تعديل هذا القسم لإعطاء لمحة موجزة عن الكيفية التي ستوجه بها النتائج وضع استراتيجيات الصحة العامة بشأن تعدين الذهب الحرفي والضيق النطاق في بلدك والخطوات التي سيتم اتخاذها للسماح بنهج تشاركي لوضع خطة العمل الوطنية.]</w:t>
      </w:r>
    </w:p>
    <w:p w14:paraId="197A91A7" w14:textId="77777777" w:rsidR="00B628FC" w:rsidRPr="00E63DCC" w:rsidRDefault="00B628FC" w:rsidP="00A5640C">
      <w:pPr>
        <w:rPr>
          <w:lang w:val="en-GB"/>
        </w:rPr>
      </w:pPr>
    </w:p>
    <w:p w14:paraId="47B7B97F" w14:textId="77777777" w:rsidR="00A358C7" w:rsidRPr="00E63DCC" w:rsidRDefault="00A358C7">
      <w:pPr>
        <w:bidi/>
        <w:spacing w:after="0" w:line="240" w:lineRule="auto"/>
        <w:rPr>
          <w:rFonts w:eastAsia="Times New Roman"/>
          <w:b/>
          <w:bCs/>
          <w:color w:val="800000"/>
          <w:kern w:val="32"/>
          <w:sz w:val="32"/>
          <w:szCs w:val="28"/>
          <w:rtl/>
        </w:rPr>
      </w:pPr>
      <w:r>
        <w:rPr>
          <w:rFonts w:hint="cs"/>
          <w:rtl/>
        </w:rPr>
        <w:br w:type="page"/>
      </w:r>
    </w:p>
    <w:p w14:paraId="0720030B" w14:textId="3DAA7271" w:rsidR="008C07CF" w:rsidRPr="00E63DCC" w:rsidRDefault="00CC7BED" w:rsidP="00A5640C">
      <w:pPr>
        <w:pStyle w:val="Heading1"/>
        <w:bidi/>
        <w:rPr>
          <w:rtl/>
        </w:rPr>
      </w:pPr>
      <w:bookmarkStart w:id="112" w:name="_Toc67301078"/>
      <w:bookmarkStart w:id="113" w:name="_Toc71095522"/>
      <w:r>
        <w:rPr>
          <w:rFonts w:hint="cs"/>
          <w:rtl/>
        </w:rPr>
        <w:lastRenderedPageBreak/>
        <w:t>6.</w:t>
      </w:r>
      <w:r>
        <w:rPr>
          <w:rFonts w:hint="cs"/>
          <w:rtl/>
        </w:rPr>
        <w:tab/>
        <w:t>جدول الدراسة</w:t>
      </w:r>
      <w:bookmarkEnd w:id="112"/>
      <w:bookmarkEnd w:id="113"/>
    </w:p>
    <w:p w14:paraId="0DB84941" w14:textId="155CA4AC" w:rsidR="008C3DF8" w:rsidRPr="00E63DCC" w:rsidRDefault="008C3DF8" w:rsidP="00A5640C">
      <w:pPr>
        <w:bidi/>
        <w:rPr>
          <w:rtl/>
        </w:rPr>
      </w:pPr>
      <w:r>
        <w:rPr>
          <w:rFonts w:hint="cs"/>
          <w:rtl/>
        </w:rPr>
        <w:t>[يُرجى تقديم جدول دراسة مفصل (بالشهر، السنة) مع معالم المشروع الرئيسية لكل من القدرات المؤسسية والتقييمات الصحية السريعة.]</w:t>
      </w:r>
    </w:p>
    <w:p w14:paraId="7FDD0BD1" w14:textId="1E260AE4" w:rsidR="008C3DF8" w:rsidRPr="00E63DCC" w:rsidRDefault="008C3DF8" w:rsidP="00A5640C">
      <w:pPr>
        <w:bidi/>
        <w:rPr>
          <w:rtl/>
        </w:rPr>
      </w:pPr>
      <w:r>
        <w:rPr>
          <w:rFonts w:hint="cs"/>
          <w:rtl/>
        </w:rPr>
        <w:t>الجدول الزمني والتسلسل المقترح للأنشطة مبين في الجدول 5.</w:t>
      </w:r>
      <w:r>
        <w:t xml:space="preserve"> </w:t>
      </w:r>
      <w:r>
        <w:rPr>
          <w:rFonts w:hint="cs"/>
          <w:rtl/>
        </w:rPr>
        <w:t>قد تخضع الجداول الزمنية لتغييرات طفيفة.</w:t>
      </w:r>
    </w:p>
    <w:p w14:paraId="347C8D58" w14:textId="77777777" w:rsidR="006F724D" w:rsidRPr="00E63DCC" w:rsidRDefault="006F724D" w:rsidP="00A5640C">
      <w:pPr>
        <w:rPr>
          <w:lang w:val="en-GB"/>
        </w:rPr>
      </w:pPr>
    </w:p>
    <w:p w14:paraId="075AA9D7" w14:textId="77777777" w:rsidR="00CD3A11" w:rsidRPr="00E63DCC" w:rsidRDefault="00CD3A11" w:rsidP="00A5640C">
      <w:pPr>
        <w:rPr>
          <w:lang w:val="en-GB"/>
        </w:rPr>
        <w:sectPr w:rsidR="00CD3A11" w:rsidRPr="00E63DCC" w:rsidSect="00091C41">
          <w:headerReference w:type="default" r:id="rId16"/>
          <w:pgSz w:w="11906" w:h="16838"/>
          <w:pgMar w:top="1440" w:right="1440" w:bottom="1440" w:left="1440" w:header="720" w:footer="720" w:gutter="0"/>
          <w:cols w:space="708"/>
          <w:docGrid w:linePitch="360"/>
        </w:sectPr>
      </w:pPr>
    </w:p>
    <w:p w14:paraId="15B896DD" w14:textId="4EF51B10" w:rsidR="00CC7BED" w:rsidRPr="00E63DCC" w:rsidRDefault="006F724D" w:rsidP="00A5640C">
      <w:pPr>
        <w:bidi/>
        <w:rPr>
          <w:rtl/>
        </w:rPr>
      </w:pPr>
      <w:r>
        <w:rPr>
          <w:rFonts w:hint="cs"/>
          <w:rtl/>
        </w:rPr>
        <w:lastRenderedPageBreak/>
        <w:t>[اقتراح]:</w:t>
      </w:r>
    </w:p>
    <w:p w14:paraId="7224ABF8" w14:textId="2C1C0FA1" w:rsidR="009C3ECF" w:rsidRPr="00482197" w:rsidRDefault="004537BF" w:rsidP="001105AC">
      <w:pPr>
        <w:pStyle w:val="Tablehead"/>
        <w:bidi/>
        <w:rPr>
          <w:b w:val="0"/>
          <w:bCs/>
          <w:rtl/>
        </w:rPr>
      </w:pPr>
      <w:bookmarkStart w:id="114" w:name="_Toc66796460"/>
      <w:r w:rsidRPr="00482197">
        <w:rPr>
          <w:rFonts w:hint="cs"/>
          <w:b w:val="0"/>
          <w:bCs/>
          <w:rtl/>
        </w:rPr>
        <w:t>الجدول 5.</w:t>
      </w:r>
      <w:r w:rsidRPr="00482197">
        <w:rPr>
          <w:b w:val="0"/>
          <w:bCs/>
        </w:rPr>
        <w:t xml:space="preserve"> </w:t>
      </w:r>
      <w:r w:rsidRPr="00482197">
        <w:rPr>
          <w:rFonts w:hint="cs"/>
          <w:b w:val="0"/>
          <w:bCs/>
          <w:rtl/>
        </w:rPr>
        <w:t>جدول الدراسة</w:t>
      </w:r>
      <w:bookmarkEnd w:id="114"/>
    </w:p>
    <w:p w14:paraId="6F7D4003" w14:textId="57E12375" w:rsidR="00C24616" w:rsidRPr="00E63DCC" w:rsidRDefault="000F5E6D" w:rsidP="00A5640C">
      <w:pPr>
        <w:bidi/>
        <w:rPr>
          <w:rtl/>
        </w:rPr>
      </w:pPr>
      <w:r>
        <w:rPr>
          <w:rFonts w:hint="cs"/>
          <w:rtl/>
        </w:rPr>
        <w:t>[من المقرر إدراجه]</w:t>
      </w:r>
    </w:p>
    <w:p w14:paraId="03E6428E" w14:textId="77777777" w:rsidR="007F74E0" w:rsidRPr="00E63DCC" w:rsidRDefault="007F74E0" w:rsidP="00A5640C">
      <w:pPr>
        <w:rPr>
          <w:lang w:val="en-GB"/>
        </w:rPr>
        <w:sectPr w:rsidR="007F74E0" w:rsidRPr="00E63DCC" w:rsidSect="00091C41">
          <w:headerReference w:type="default" r:id="rId17"/>
          <w:pgSz w:w="16838" w:h="11906" w:orient="landscape"/>
          <w:pgMar w:top="1440" w:right="1440" w:bottom="1440" w:left="1440" w:header="720" w:footer="720" w:gutter="0"/>
          <w:cols w:space="708"/>
          <w:docGrid w:linePitch="360"/>
        </w:sectPr>
      </w:pPr>
    </w:p>
    <w:p w14:paraId="50B6DB42" w14:textId="4B904CA8" w:rsidR="008901A7" w:rsidRPr="00E63DCC" w:rsidRDefault="000F5E6D" w:rsidP="00A5640C">
      <w:pPr>
        <w:pStyle w:val="Heading1"/>
        <w:bidi/>
        <w:rPr>
          <w:rtl/>
        </w:rPr>
      </w:pPr>
      <w:bookmarkStart w:id="115" w:name="_Toc67301079"/>
      <w:bookmarkStart w:id="116" w:name="_Toc71095523"/>
      <w:r>
        <w:rPr>
          <w:rFonts w:hint="cs"/>
          <w:rtl/>
        </w:rPr>
        <w:lastRenderedPageBreak/>
        <w:t>7.</w:t>
      </w:r>
      <w:r>
        <w:rPr>
          <w:rFonts w:hint="cs"/>
          <w:rtl/>
        </w:rPr>
        <w:tab/>
        <w:t>التمويل والدعم</w:t>
      </w:r>
      <w:bookmarkEnd w:id="110"/>
      <w:bookmarkEnd w:id="111"/>
      <w:bookmarkEnd w:id="115"/>
      <w:bookmarkEnd w:id="116"/>
    </w:p>
    <w:p w14:paraId="7F2DD583" w14:textId="4613B71B" w:rsidR="00FB3F3B" w:rsidRPr="00E63DCC" w:rsidRDefault="00FB3F3B" w:rsidP="00A5640C">
      <w:pPr>
        <w:bidi/>
        <w:rPr>
          <w:rtl/>
        </w:rPr>
      </w:pPr>
      <w:bookmarkStart w:id="117" w:name="_Toc245371596"/>
      <w:r>
        <w:rPr>
          <w:rFonts w:hint="cs"/>
          <w:rtl/>
        </w:rPr>
        <w:t>[يُرجى أن تذكر هنا في فقرة واحدة مختلف الجهات الراعية لدراستك والميزانية الإجمالية المتوفرة.]</w:t>
      </w:r>
    </w:p>
    <w:bookmarkEnd w:id="117"/>
    <w:p w14:paraId="151452BE" w14:textId="77777777" w:rsidR="001132E1" w:rsidRPr="00E63DCC" w:rsidRDefault="001132E1" w:rsidP="00A5640C">
      <w:pPr>
        <w:bidi/>
        <w:rPr>
          <w:rFonts w:eastAsia="Times New Roman"/>
          <w:kern w:val="32"/>
          <w:sz w:val="28"/>
          <w:szCs w:val="28"/>
          <w:rtl/>
        </w:rPr>
      </w:pPr>
      <w:r>
        <w:rPr>
          <w:rFonts w:hint="cs"/>
          <w:rtl/>
        </w:rPr>
        <w:br w:type="page"/>
      </w:r>
    </w:p>
    <w:p w14:paraId="47B6F227" w14:textId="77777777" w:rsidR="00BB0002" w:rsidRPr="00E63DCC" w:rsidRDefault="00BB4A5E" w:rsidP="00A5640C">
      <w:pPr>
        <w:pStyle w:val="Heading1"/>
        <w:bidi/>
        <w:rPr>
          <w:rtl/>
        </w:rPr>
      </w:pPr>
      <w:bookmarkStart w:id="118" w:name="_Toc67301080"/>
      <w:bookmarkStart w:id="119" w:name="_Toc71095524"/>
      <w:r>
        <w:rPr>
          <w:rFonts w:hint="cs"/>
          <w:rtl/>
        </w:rPr>
        <w:lastRenderedPageBreak/>
        <w:t>المراجع</w:t>
      </w:r>
      <w:bookmarkEnd w:id="118"/>
      <w:bookmarkEnd w:id="119"/>
    </w:p>
    <w:p w14:paraId="6CDCF7F7"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1.</w:t>
      </w:r>
      <w:r w:rsidRPr="00030FF2">
        <w:rPr>
          <w:rFonts w:asciiTheme="majorBidi" w:hAnsiTheme="majorBidi" w:cstheme="majorBidi"/>
          <w:sz w:val="22"/>
          <w:rtl/>
        </w:rPr>
        <w:t xml:space="preserve"> </w:t>
      </w:r>
      <w:r w:rsidRPr="00030FF2">
        <w:rPr>
          <w:rFonts w:asciiTheme="majorBidi" w:hAnsiTheme="majorBidi" w:cstheme="majorBidi"/>
          <w:sz w:val="22"/>
        </w:rPr>
        <w:tab/>
      </w:r>
      <w:proofErr w:type="spellStart"/>
      <w:r w:rsidRPr="00030FF2">
        <w:rPr>
          <w:rFonts w:asciiTheme="majorBidi" w:hAnsiTheme="majorBidi" w:cstheme="majorBidi"/>
          <w:sz w:val="22"/>
        </w:rPr>
        <w:t>Hentschel</w:t>
      </w:r>
      <w:proofErr w:type="spellEnd"/>
      <w:r w:rsidRPr="00030FF2">
        <w:rPr>
          <w:rFonts w:asciiTheme="majorBidi" w:hAnsiTheme="majorBidi" w:cstheme="majorBidi"/>
          <w:sz w:val="22"/>
        </w:rPr>
        <w:t xml:space="preserve"> T, </w:t>
      </w:r>
      <w:proofErr w:type="spellStart"/>
      <w:r w:rsidRPr="00030FF2">
        <w:rPr>
          <w:rFonts w:asciiTheme="majorBidi" w:hAnsiTheme="majorBidi" w:cstheme="majorBidi"/>
          <w:sz w:val="22"/>
        </w:rPr>
        <w:t>Hruschka</w:t>
      </w:r>
      <w:proofErr w:type="spellEnd"/>
      <w:r w:rsidRPr="00030FF2">
        <w:rPr>
          <w:rFonts w:asciiTheme="majorBidi" w:hAnsiTheme="majorBidi" w:cstheme="majorBidi"/>
          <w:sz w:val="22"/>
        </w:rPr>
        <w:t xml:space="preserve"> F, Priester M. Artisanal and small-scale mining: challenges and opportunities. London: World Business Council for Sustainable Development; 2003.</w:t>
      </w:r>
      <w:r w:rsidRPr="00030FF2">
        <w:rPr>
          <w:rFonts w:asciiTheme="majorBidi" w:hAnsiTheme="majorBidi" w:cstheme="majorBidi"/>
          <w:sz w:val="22"/>
          <w:rtl/>
        </w:rPr>
        <w:t xml:space="preserve"> (</w:t>
      </w:r>
      <w:proofErr w:type="spellStart"/>
      <w:r w:rsidRPr="00030FF2">
        <w:rPr>
          <w:rFonts w:asciiTheme="majorBidi" w:hAnsiTheme="majorBidi" w:cstheme="majorBidi"/>
          <w:sz w:val="22"/>
        </w:rPr>
        <w:t>Hentschel</w:t>
      </w:r>
      <w:proofErr w:type="spellEnd"/>
      <w:r w:rsidRPr="00030FF2">
        <w:rPr>
          <w:rFonts w:asciiTheme="majorBidi" w:hAnsiTheme="majorBidi" w:cstheme="majorBidi"/>
          <w:sz w:val="22"/>
        </w:rPr>
        <w:t xml:space="preserve"> T, </w:t>
      </w:r>
      <w:proofErr w:type="spellStart"/>
      <w:r w:rsidRPr="00030FF2">
        <w:rPr>
          <w:rFonts w:asciiTheme="majorBidi" w:hAnsiTheme="majorBidi" w:cstheme="majorBidi"/>
          <w:sz w:val="22"/>
        </w:rPr>
        <w:t>Hruschka</w:t>
      </w:r>
      <w:proofErr w:type="spellEnd"/>
      <w:r w:rsidRPr="00030FF2">
        <w:rPr>
          <w:rFonts w:asciiTheme="majorBidi" w:hAnsiTheme="majorBidi" w:cstheme="majorBidi"/>
          <w:sz w:val="22"/>
        </w:rPr>
        <w:t xml:space="preserve"> F, Priester M.</w:t>
      </w:r>
      <w:r w:rsidRPr="00030FF2">
        <w:rPr>
          <w:rFonts w:asciiTheme="majorBidi" w:hAnsiTheme="majorBidi" w:cstheme="majorBidi"/>
          <w:sz w:val="22"/>
          <w:rtl/>
        </w:rPr>
        <w:t xml:space="preserve"> </w:t>
      </w:r>
      <w:r w:rsidRPr="00030FF2">
        <w:rPr>
          <w:rFonts w:asciiTheme="majorBidi" w:hAnsiTheme="majorBidi" w:cstheme="majorBidi"/>
          <w:sz w:val="22"/>
          <w:rtl/>
          <w:lang w:bidi="ar-SA"/>
        </w:rPr>
        <w:t>التعدين الحرفي والضيق النطاق</w:t>
      </w:r>
      <w:r w:rsidRPr="00030FF2">
        <w:rPr>
          <w:rFonts w:asciiTheme="majorBidi" w:hAnsiTheme="majorBidi" w:cstheme="majorBidi"/>
          <w:sz w:val="22"/>
          <w:rtl/>
          <w:lang w:bidi="ar"/>
        </w:rPr>
        <w:t xml:space="preserve">: </w:t>
      </w:r>
      <w:r w:rsidRPr="00030FF2">
        <w:rPr>
          <w:rFonts w:asciiTheme="majorBidi" w:hAnsiTheme="majorBidi" w:cstheme="majorBidi"/>
          <w:sz w:val="22"/>
          <w:rtl/>
          <w:lang w:bidi="ar-SA"/>
        </w:rPr>
        <w:t>التحديات والفرص</w:t>
      </w:r>
      <w:r w:rsidRPr="00030FF2">
        <w:rPr>
          <w:rFonts w:asciiTheme="majorBidi" w:hAnsiTheme="majorBidi" w:cstheme="majorBidi"/>
          <w:sz w:val="22"/>
          <w:rtl/>
          <w:lang w:bidi="ar"/>
        </w:rPr>
        <w:t xml:space="preserve">. </w:t>
      </w:r>
      <w:r w:rsidRPr="00030FF2">
        <w:rPr>
          <w:rFonts w:asciiTheme="majorBidi" w:hAnsiTheme="majorBidi" w:cstheme="majorBidi"/>
          <w:sz w:val="22"/>
          <w:rtl/>
          <w:lang w:bidi="ar-SA"/>
        </w:rPr>
        <w:t>لندن</w:t>
      </w:r>
      <w:r w:rsidRPr="00030FF2">
        <w:rPr>
          <w:rFonts w:asciiTheme="majorBidi" w:hAnsiTheme="majorBidi" w:cstheme="majorBidi"/>
          <w:sz w:val="22"/>
          <w:rtl/>
          <w:lang w:bidi="ar"/>
        </w:rPr>
        <w:t xml:space="preserve">: </w:t>
      </w:r>
      <w:r w:rsidRPr="00030FF2">
        <w:rPr>
          <w:rFonts w:asciiTheme="majorBidi" w:hAnsiTheme="majorBidi" w:cstheme="majorBidi"/>
          <w:sz w:val="22"/>
          <w:rtl/>
          <w:lang w:bidi="ar-SA"/>
        </w:rPr>
        <w:t>مجلس الأعمال العالمي للتنمية المستدامة</w:t>
      </w:r>
      <w:r w:rsidRPr="00030FF2">
        <w:rPr>
          <w:rFonts w:asciiTheme="majorBidi" w:hAnsiTheme="majorBidi" w:cstheme="majorBidi"/>
          <w:sz w:val="22"/>
          <w:rtl/>
        </w:rPr>
        <w:t>؛</w:t>
      </w:r>
      <w:r w:rsidRPr="00030FF2">
        <w:rPr>
          <w:rFonts w:asciiTheme="majorBidi" w:hAnsiTheme="majorBidi" w:cstheme="majorBidi"/>
          <w:sz w:val="22"/>
        </w:rPr>
        <w:t>2003.</w:t>
      </w:r>
      <w:r w:rsidRPr="00030FF2">
        <w:rPr>
          <w:rFonts w:asciiTheme="majorBidi" w:hAnsiTheme="majorBidi" w:cstheme="majorBidi"/>
          <w:sz w:val="22"/>
          <w:rtl/>
        </w:rPr>
        <w:t>)</w:t>
      </w:r>
    </w:p>
    <w:p w14:paraId="7421A35B"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2.</w:t>
      </w:r>
      <w:r w:rsidRPr="00030FF2">
        <w:rPr>
          <w:rFonts w:asciiTheme="majorBidi" w:hAnsiTheme="majorBidi" w:cstheme="majorBidi"/>
          <w:sz w:val="22"/>
        </w:rPr>
        <w:tab/>
        <w:t>Breaking new ground: mining, minerals and sustainable development. London: International Institute for Environment and Development; 2004.</w:t>
      </w:r>
      <w:r w:rsidRPr="00030FF2">
        <w:rPr>
          <w:rFonts w:asciiTheme="majorBidi" w:hAnsiTheme="majorBidi" w:cstheme="majorBidi"/>
          <w:sz w:val="22"/>
          <w:rtl/>
        </w:rPr>
        <w:t xml:space="preserve"> (</w:t>
      </w:r>
      <w:r w:rsidRPr="00030FF2">
        <w:rPr>
          <w:rFonts w:asciiTheme="majorBidi" w:hAnsiTheme="majorBidi" w:cstheme="majorBidi"/>
          <w:sz w:val="22"/>
          <w:rtl/>
          <w:lang w:bidi="ar-SA"/>
        </w:rPr>
        <w:t>فتح آفاق جديدة</w:t>
      </w:r>
      <w:r w:rsidRPr="00030FF2">
        <w:rPr>
          <w:rFonts w:asciiTheme="majorBidi" w:hAnsiTheme="majorBidi" w:cstheme="majorBidi"/>
          <w:sz w:val="22"/>
          <w:rtl/>
          <w:lang w:bidi="ar"/>
        </w:rPr>
        <w:t xml:space="preserve">: </w:t>
      </w:r>
      <w:r w:rsidRPr="00030FF2">
        <w:rPr>
          <w:rFonts w:asciiTheme="majorBidi" w:hAnsiTheme="majorBidi" w:cstheme="majorBidi"/>
          <w:sz w:val="22"/>
          <w:rtl/>
          <w:lang w:bidi="ar-SA"/>
        </w:rPr>
        <w:t>التعدين والمعادن والتنمية المستدامة</w:t>
      </w:r>
      <w:r w:rsidRPr="00030FF2">
        <w:rPr>
          <w:rFonts w:asciiTheme="majorBidi" w:hAnsiTheme="majorBidi" w:cstheme="majorBidi"/>
          <w:sz w:val="22"/>
          <w:rtl/>
          <w:lang w:bidi="ar"/>
        </w:rPr>
        <w:t xml:space="preserve">. </w:t>
      </w:r>
      <w:r w:rsidRPr="00030FF2">
        <w:rPr>
          <w:rFonts w:asciiTheme="majorBidi" w:hAnsiTheme="majorBidi" w:cstheme="majorBidi"/>
          <w:sz w:val="22"/>
          <w:rtl/>
          <w:lang w:bidi="ar-SA"/>
        </w:rPr>
        <w:t>لندن</w:t>
      </w:r>
      <w:r w:rsidRPr="00030FF2">
        <w:rPr>
          <w:rFonts w:asciiTheme="majorBidi" w:hAnsiTheme="majorBidi" w:cstheme="majorBidi"/>
          <w:sz w:val="22"/>
          <w:rtl/>
          <w:lang w:bidi="ar"/>
        </w:rPr>
        <w:t xml:space="preserve">: </w:t>
      </w:r>
      <w:r w:rsidRPr="00030FF2">
        <w:rPr>
          <w:rFonts w:asciiTheme="majorBidi" w:hAnsiTheme="majorBidi" w:cstheme="majorBidi"/>
          <w:sz w:val="22"/>
          <w:rtl/>
          <w:lang w:bidi="ar-SA"/>
        </w:rPr>
        <w:t>المعهد الدولي للبيئة والتنمية؛</w:t>
      </w:r>
      <w:r w:rsidRPr="00030FF2">
        <w:rPr>
          <w:rFonts w:asciiTheme="majorBidi" w:hAnsiTheme="majorBidi" w:cstheme="majorBidi"/>
          <w:sz w:val="22"/>
        </w:rPr>
        <w:t>2004.</w:t>
      </w:r>
      <w:r w:rsidRPr="00030FF2">
        <w:rPr>
          <w:rFonts w:asciiTheme="majorBidi" w:hAnsiTheme="majorBidi" w:cstheme="majorBidi"/>
          <w:sz w:val="22"/>
          <w:rtl/>
        </w:rPr>
        <w:t>)</w:t>
      </w:r>
    </w:p>
    <w:p w14:paraId="4984D82A"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3.</w:t>
      </w:r>
      <w:r w:rsidRPr="00030FF2">
        <w:rPr>
          <w:rFonts w:asciiTheme="majorBidi" w:hAnsiTheme="majorBidi" w:cstheme="majorBidi"/>
          <w:sz w:val="22"/>
        </w:rPr>
        <w:tab/>
      </w:r>
      <w:proofErr w:type="spellStart"/>
      <w:r w:rsidRPr="00030FF2">
        <w:rPr>
          <w:rFonts w:asciiTheme="majorBidi" w:hAnsiTheme="majorBidi" w:cstheme="majorBidi"/>
          <w:sz w:val="22"/>
        </w:rPr>
        <w:t>Veiga</w:t>
      </w:r>
      <w:proofErr w:type="spellEnd"/>
      <w:r w:rsidRPr="00030FF2">
        <w:rPr>
          <w:rFonts w:asciiTheme="majorBidi" w:hAnsiTheme="majorBidi" w:cstheme="majorBidi"/>
          <w:sz w:val="22"/>
        </w:rPr>
        <w:t xml:space="preserve"> MM, Baker RF. Protocols for environmental and health assessment of mercury released by artisanal and small-scale gold miners. Vienna: United Nations Industrial Development Organization; 2004.</w:t>
      </w:r>
      <w:r w:rsidRPr="00030FF2">
        <w:rPr>
          <w:rFonts w:asciiTheme="majorBidi" w:hAnsiTheme="majorBidi" w:cstheme="majorBidi"/>
          <w:sz w:val="22"/>
          <w:rtl/>
        </w:rPr>
        <w:t xml:space="preserve"> (</w:t>
      </w:r>
      <w:proofErr w:type="spellStart"/>
      <w:r w:rsidRPr="00030FF2">
        <w:rPr>
          <w:rFonts w:asciiTheme="majorBidi" w:hAnsiTheme="majorBidi" w:cstheme="majorBidi"/>
          <w:sz w:val="22"/>
        </w:rPr>
        <w:t>Veiga</w:t>
      </w:r>
      <w:proofErr w:type="spellEnd"/>
      <w:r w:rsidRPr="00030FF2">
        <w:rPr>
          <w:rFonts w:asciiTheme="majorBidi" w:hAnsiTheme="majorBidi" w:cstheme="majorBidi"/>
          <w:sz w:val="22"/>
        </w:rPr>
        <w:t xml:space="preserve"> MM, Baker RF.</w:t>
      </w:r>
      <w:r w:rsidRPr="00030FF2">
        <w:rPr>
          <w:rFonts w:asciiTheme="majorBidi" w:hAnsiTheme="majorBidi" w:cstheme="majorBidi"/>
          <w:sz w:val="22"/>
          <w:rtl/>
        </w:rPr>
        <w:t xml:space="preserve"> بروتوكولات التقييم البيئي والصحي للزئبق المنطلق من قبل عمال تعدين الذهب الحرفي والضيق النطاق. فيينا: منظمة الأمم المتحدة للتنمية الصناعية؛</w:t>
      </w:r>
      <w:r w:rsidRPr="00030FF2">
        <w:rPr>
          <w:rFonts w:asciiTheme="majorBidi" w:hAnsiTheme="majorBidi" w:cstheme="majorBidi"/>
          <w:sz w:val="22"/>
        </w:rPr>
        <w:t xml:space="preserve"> 2004.</w:t>
      </w:r>
      <w:r w:rsidRPr="00030FF2">
        <w:rPr>
          <w:rFonts w:asciiTheme="majorBidi" w:hAnsiTheme="majorBidi" w:cstheme="majorBidi"/>
          <w:sz w:val="22"/>
          <w:rtl/>
        </w:rPr>
        <w:t>)</w:t>
      </w:r>
    </w:p>
    <w:p w14:paraId="086591B6"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4.</w:t>
      </w:r>
      <w:r w:rsidRPr="00030FF2">
        <w:rPr>
          <w:rFonts w:asciiTheme="majorBidi" w:hAnsiTheme="majorBidi" w:cstheme="majorBidi"/>
          <w:sz w:val="22"/>
        </w:rPr>
        <w:tab/>
        <w:t xml:space="preserve">Persaud A, </w:t>
      </w:r>
      <w:proofErr w:type="spellStart"/>
      <w:r w:rsidRPr="00030FF2">
        <w:rPr>
          <w:rFonts w:asciiTheme="majorBidi" w:hAnsiTheme="majorBidi" w:cstheme="majorBidi"/>
          <w:sz w:val="22"/>
        </w:rPr>
        <w:t>Telmer</w:t>
      </w:r>
      <w:proofErr w:type="spellEnd"/>
      <w:r w:rsidRPr="00030FF2">
        <w:rPr>
          <w:rFonts w:asciiTheme="majorBidi" w:hAnsiTheme="majorBidi" w:cstheme="majorBidi"/>
          <w:sz w:val="22"/>
        </w:rPr>
        <w:t xml:space="preserve"> K. Developing baseline estimates of mercury use in artisanal and small-scale gold mining communities: a practical guide (version 1.0). Victoria, British Columbia: Artisanal Gold Council; 2015.</w:t>
      </w:r>
      <w:r w:rsidRPr="00030FF2">
        <w:rPr>
          <w:rFonts w:asciiTheme="majorBidi" w:hAnsiTheme="majorBidi" w:cstheme="majorBidi"/>
          <w:sz w:val="22"/>
          <w:rtl/>
        </w:rPr>
        <w:t xml:space="preserve"> (</w:t>
      </w:r>
      <w:r w:rsidRPr="00030FF2">
        <w:rPr>
          <w:rFonts w:asciiTheme="majorBidi" w:hAnsiTheme="majorBidi" w:cstheme="majorBidi"/>
          <w:sz w:val="22"/>
        </w:rPr>
        <w:t xml:space="preserve">Persaud A, </w:t>
      </w:r>
      <w:proofErr w:type="spellStart"/>
      <w:r w:rsidRPr="00030FF2">
        <w:rPr>
          <w:rFonts w:asciiTheme="majorBidi" w:hAnsiTheme="majorBidi" w:cstheme="majorBidi"/>
          <w:sz w:val="22"/>
        </w:rPr>
        <w:t>Telmer</w:t>
      </w:r>
      <w:proofErr w:type="spellEnd"/>
      <w:r w:rsidRPr="00030FF2">
        <w:rPr>
          <w:rFonts w:asciiTheme="majorBidi" w:hAnsiTheme="majorBidi" w:cstheme="majorBidi"/>
          <w:sz w:val="22"/>
        </w:rPr>
        <w:t xml:space="preserve"> K.</w:t>
      </w:r>
      <w:r w:rsidRPr="00030FF2">
        <w:rPr>
          <w:rFonts w:asciiTheme="majorBidi" w:hAnsiTheme="majorBidi" w:cstheme="majorBidi"/>
          <w:sz w:val="22"/>
          <w:rtl/>
        </w:rPr>
        <w:t xml:space="preserve"> وضع تقديرات أساسية لاستخدام الزئبق في مجتمعات تعدين الذهب الحرفي والضيق النطاق: دليل عملي (الإصدار 1.0). فيكتوريا، كولومبيا البريطانية: مجلس الذهب الحرفي؛</w:t>
      </w:r>
      <w:r w:rsidRPr="00030FF2">
        <w:rPr>
          <w:rFonts w:asciiTheme="majorBidi" w:hAnsiTheme="majorBidi" w:cstheme="majorBidi"/>
          <w:sz w:val="22"/>
        </w:rPr>
        <w:t>2015.</w:t>
      </w:r>
      <w:r w:rsidRPr="00030FF2">
        <w:rPr>
          <w:rFonts w:asciiTheme="majorBidi" w:hAnsiTheme="majorBidi" w:cstheme="majorBidi"/>
          <w:sz w:val="22"/>
          <w:rtl/>
        </w:rPr>
        <w:t>)</w:t>
      </w:r>
    </w:p>
    <w:p w14:paraId="3B93AD69" w14:textId="77777777" w:rsidR="000C59DB" w:rsidRPr="00030FF2" w:rsidRDefault="000C59DB" w:rsidP="000C59DB">
      <w:pPr>
        <w:pStyle w:val="Referencelist"/>
        <w:bidi/>
        <w:rPr>
          <w:rFonts w:asciiTheme="majorBidi" w:hAnsiTheme="majorBidi" w:cstheme="majorBidi"/>
          <w:spacing w:val="-4"/>
          <w:sz w:val="22"/>
          <w:rtl/>
        </w:rPr>
      </w:pPr>
      <w:r w:rsidRPr="00030FF2">
        <w:rPr>
          <w:rFonts w:asciiTheme="majorBidi" w:hAnsiTheme="majorBidi" w:cstheme="majorBidi"/>
          <w:sz w:val="22"/>
        </w:rPr>
        <w:t>5.</w:t>
      </w:r>
      <w:r w:rsidRPr="00030FF2">
        <w:rPr>
          <w:rFonts w:asciiTheme="majorBidi" w:hAnsiTheme="majorBidi" w:cstheme="majorBidi"/>
          <w:sz w:val="22"/>
        </w:rPr>
        <w:tab/>
      </w:r>
      <w:bookmarkStart w:id="120" w:name="_Hlk71032562"/>
      <w:r w:rsidRPr="00030FF2">
        <w:rPr>
          <w:rFonts w:asciiTheme="majorBidi" w:hAnsiTheme="majorBidi" w:cstheme="majorBidi"/>
          <w:sz w:val="22"/>
        </w:rPr>
        <w:t>Environmental and occupational health hazards</w:t>
      </w:r>
      <w:bookmarkEnd w:id="120"/>
      <w:r w:rsidRPr="00030FF2">
        <w:rPr>
          <w:rFonts w:asciiTheme="majorBidi" w:hAnsiTheme="majorBidi" w:cstheme="majorBidi"/>
          <w:sz w:val="22"/>
        </w:rPr>
        <w:t xml:space="preserve"> associated with artisanal and small-scale gold mining. Geneva: World Health Organization; 2016</w:t>
      </w:r>
      <w:r w:rsidRPr="00030FF2">
        <w:rPr>
          <w:rFonts w:asciiTheme="majorBidi" w:hAnsiTheme="majorBidi" w:cstheme="majorBidi"/>
          <w:sz w:val="22"/>
          <w:rtl/>
        </w:rPr>
        <w:t xml:space="preserve"> (</w:t>
      </w:r>
      <w:r w:rsidRPr="00030FF2">
        <w:rPr>
          <w:rFonts w:asciiTheme="majorBidi" w:hAnsiTheme="majorBidi" w:cstheme="majorBidi"/>
          <w:spacing w:val="-4"/>
          <w:sz w:val="22"/>
          <w:rtl/>
        </w:rPr>
        <w:t>المخاطر الصحية البيئية والمهنية المرتبطة بتعدين الذهب الحرفي والضيق النطاق. جنيف: منظمة الصحة العالمية؛</w:t>
      </w:r>
      <w:r w:rsidRPr="00030FF2">
        <w:rPr>
          <w:rFonts w:asciiTheme="majorBidi" w:hAnsiTheme="majorBidi" w:cstheme="majorBidi"/>
          <w:spacing w:val="-4"/>
          <w:sz w:val="22"/>
        </w:rPr>
        <w:t xml:space="preserve"> 2016</w:t>
      </w:r>
      <w:r w:rsidRPr="00030FF2">
        <w:rPr>
          <w:rFonts w:asciiTheme="majorBidi" w:hAnsiTheme="majorBidi" w:cstheme="majorBidi"/>
          <w:spacing w:val="-4"/>
          <w:sz w:val="22"/>
          <w:rtl/>
        </w:rPr>
        <w:t>)</w:t>
      </w:r>
      <w:r w:rsidRPr="00030FF2">
        <w:rPr>
          <w:rFonts w:asciiTheme="majorBidi" w:hAnsiTheme="majorBidi" w:cstheme="majorBidi"/>
          <w:spacing w:val="-4"/>
          <w:sz w:val="22"/>
        </w:rPr>
        <w:t xml:space="preserve"> )</w:t>
      </w:r>
      <w:r w:rsidRPr="008C2A5B">
        <w:rPr>
          <w:rFonts w:asciiTheme="majorBidi" w:hAnsiTheme="majorBidi" w:cstheme="majorBidi"/>
          <w:noProof/>
          <w:spacing w:val="-4"/>
          <w:sz w:val="22"/>
          <w:rtl/>
        </w:rPr>
        <w:t>https://apps.who.int/iris/handle/10665/247195</w:t>
      </w:r>
      <w:r w:rsidRPr="00030FF2">
        <w:rPr>
          <w:rFonts w:asciiTheme="majorBidi" w:hAnsiTheme="majorBidi" w:cstheme="majorBidi"/>
          <w:spacing w:val="-4"/>
          <w:sz w:val="22"/>
          <w:rtl/>
        </w:rPr>
        <w:t xml:space="preserve">، تم الدخول إليه في </w:t>
      </w:r>
      <w:r w:rsidRPr="00030FF2">
        <w:rPr>
          <w:rFonts w:asciiTheme="majorBidi" w:hAnsiTheme="majorBidi" w:cstheme="majorBidi"/>
          <w:spacing w:val="-4"/>
          <w:sz w:val="22"/>
        </w:rPr>
        <w:t>10</w:t>
      </w:r>
      <w:r w:rsidRPr="00030FF2">
        <w:rPr>
          <w:rFonts w:asciiTheme="majorBidi" w:hAnsiTheme="majorBidi" w:cstheme="majorBidi"/>
          <w:spacing w:val="-4"/>
          <w:sz w:val="22"/>
          <w:rtl/>
        </w:rPr>
        <w:t xml:space="preserve"> فبراير </w:t>
      </w:r>
      <w:r w:rsidRPr="00030FF2">
        <w:rPr>
          <w:rFonts w:asciiTheme="majorBidi" w:hAnsiTheme="majorBidi" w:cstheme="majorBidi"/>
          <w:spacing w:val="-4"/>
          <w:sz w:val="22"/>
        </w:rPr>
        <w:t>2021</w:t>
      </w:r>
      <w:r w:rsidRPr="00030FF2">
        <w:rPr>
          <w:rFonts w:asciiTheme="majorBidi" w:hAnsiTheme="majorBidi" w:cstheme="majorBidi"/>
          <w:spacing w:val="-4"/>
          <w:sz w:val="22"/>
          <w:rtl/>
        </w:rPr>
        <w:t>).</w:t>
      </w:r>
    </w:p>
    <w:p w14:paraId="2B707B20"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6.</w:t>
      </w:r>
      <w:r w:rsidRPr="00030FF2">
        <w:rPr>
          <w:rFonts w:asciiTheme="majorBidi" w:hAnsiTheme="majorBidi" w:cstheme="majorBidi"/>
          <w:sz w:val="22"/>
        </w:rPr>
        <w:tab/>
      </w:r>
      <w:proofErr w:type="spellStart"/>
      <w:r w:rsidRPr="00030FF2">
        <w:rPr>
          <w:rFonts w:asciiTheme="majorBidi" w:hAnsiTheme="majorBidi" w:cstheme="majorBidi"/>
          <w:sz w:val="22"/>
        </w:rPr>
        <w:t>Veiga</w:t>
      </w:r>
      <w:proofErr w:type="spellEnd"/>
      <w:r w:rsidRPr="00030FF2">
        <w:rPr>
          <w:rFonts w:asciiTheme="majorBidi" w:hAnsiTheme="majorBidi" w:cstheme="majorBidi"/>
          <w:sz w:val="22"/>
        </w:rPr>
        <w:t xml:space="preserve"> MM, Maxson PA, </w:t>
      </w:r>
      <w:proofErr w:type="spellStart"/>
      <w:r w:rsidRPr="00030FF2">
        <w:rPr>
          <w:rFonts w:asciiTheme="majorBidi" w:hAnsiTheme="majorBidi" w:cstheme="majorBidi"/>
          <w:sz w:val="22"/>
        </w:rPr>
        <w:t>Hylander</w:t>
      </w:r>
      <w:proofErr w:type="spellEnd"/>
      <w:r w:rsidRPr="00030FF2">
        <w:rPr>
          <w:rFonts w:asciiTheme="majorBidi" w:hAnsiTheme="majorBidi" w:cstheme="majorBidi"/>
          <w:sz w:val="22"/>
        </w:rPr>
        <w:t xml:space="preserve"> LD. Origin and consumption of mercury in small-scale gold mining. Journal of Cleaner Production. 2006;14:436–47.</w:t>
      </w:r>
      <w:r w:rsidRPr="00030FF2">
        <w:rPr>
          <w:rFonts w:asciiTheme="majorBidi" w:hAnsiTheme="majorBidi" w:cstheme="majorBidi"/>
          <w:sz w:val="22"/>
          <w:rtl/>
        </w:rPr>
        <w:t xml:space="preserve"> (</w:t>
      </w:r>
      <w:proofErr w:type="spellStart"/>
      <w:r w:rsidRPr="00030FF2">
        <w:rPr>
          <w:rFonts w:asciiTheme="majorBidi" w:hAnsiTheme="majorBidi" w:cstheme="majorBidi"/>
          <w:sz w:val="22"/>
        </w:rPr>
        <w:t>Veiga</w:t>
      </w:r>
      <w:proofErr w:type="spellEnd"/>
      <w:r w:rsidRPr="00030FF2">
        <w:rPr>
          <w:rFonts w:asciiTheme="majorBidi" w:hAnsiTheme="majorBidi" w:cstheme="majorBidi"/>
          <w:sz w:val="22"/>
        </w:rPr>
        <w:t xml:space="preserve"> MM, Maxson PA, </w:t>
      </w:r>
      <w:proofErr w:type="spellStart"/>
      <w:r w:rsidRPr="00030FF2">
        <w:rPr>
          <w:rFonts w:asciiTheme="majorBidi" w:hAnsiTheme="majorBidi" w:cstheme="majorBidi"/>
          <w:sz w:val="22"/>
        </w:rPr>
        <w:t>Hylander</w:t>
      </w:r>
      <w:proofErr w:type="spellEnd"/>
      <w:r w:rsidRPr="00030FF2">
        <w:rPr>
          <w:rFonts w:asciiTheme="majorBidi" w:hAnsiTheme="majorBidi" w:cstheme="majorBidi"/>
          <w:sz w:val="22"/>
        </w:rPr>
        <w:t xml:space="preserve"> LD.</w:t>
      </w:r>
      <w:r w:rsidRPr="00030FF2">
        <w:rPr>
          <w:rFonts w:asciiTheme="majorBidi" w:hAnsiTheme="majorBidi" w:cstheme="majorBidi"/>
          <w:sz w:val="22"/>
          <w:rtl/>
        </w:rPr>
        <w:t xml:space="preserve"> منشأ واستهلاك الزئبق في تعدين الذهب على نطاق ضيق. مجلة الإنتاج الأنظف. </w:t>
      </w:r>
      <w:r w:rsidRPr="00030FF2">
        <w:rPr>
          <w:rFonts w:asciiTheme="majorBidi" w:hAnsiTheme="majorBidi" w:cstheme="majorBidi"/>
          <w:sz w:val="22"/>
        </w:rPr>
        <w:t>2006;14:436–47.</w:t>
      </w:r>
      <w:r w:rsidRPr="00030FF2">
        <w:rPr>
          <w:rFonts w:asciiTheme="majorBidi" w:hAnsiTheme="majorBidi" w:cstheme="majorBidi"/>
          <w:sz w:val="22"/>
          <w:rtl/>
        </w:rPr>
        <w:t>)</w:t>
      </w:r>
    </w:p>
    <w:p w14:paraId="15303645"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7.</w:t>
      </w:r>
      <w:r w:rsidRPr="00030FF2">
        <w:rPr>
          <w:rFonts w:asciiTheme="majorBidi" w:hAnsiTheme="majorBidi" w:cstheme="majorBidi"/>
          <w:sz w:val="22"/>
        </w:rPr>
        <w:tab/>
        <w:t>Minamata Convention on Mercury: text and annexes. Nairobi: United Nations Environmental Programme</w:t>
      </w:r>
      <w:r w:rsidRPr="00030FF2">
        <w:rPr>
          <w:rFonts w:asciiTheme="majorBidi" w:hAnsiTheme="majorBidi" w:cstheme="majorBidi"/>
          <w:sz w:val="22"/>
          <w:rtl/>
        </w:rPr>
        <w:t xml:space="preserve"> (اتفاقية </w:t>
      </w:r>
      <w:proofErr w:type="spellStart"/>
      <w:r w:rsidRPr="00030FF2">
        <w:rPr>
          <w:rFonts w:asciiTheme="majorBidi" w:hAnsiTheme="majorBidi" w:cstheme="majorBidi"/>
          <w:sz w:val="22"/>
          <w:rtl/>
        </w:rPr>
        <w:t>ميناماتا</w:t>
      </w:r>
      <w:proofErr w:type="spellEnd"/>
      <w:r w:rsidRPr="00030FF2">
        <w:rPr>
          <w:rFonts w:asciiTheme="majorBidi" w:hAnsiTheme="majorBidi" w:cstheme="majorBidi"/>
          <w:sz w:val="22"/>
          <w:rtl/>
        </w:rPr>
        <w:t xml:space="preserve"> بشأن الزئبق: نص ومرفقات. نيروبي: برنامج الأمم المتحدة للبيئة) (</w:t>
      </w:r>
      <w:r w:rsidRPr="008C2A5B">
        <w:rPr>
          <w:rFonts w:asciiTheme="majorBidi" w:hAnsiTheme="majorBidi" w:cstheme="majorBidi"/>
          <w:noProof/>
          <w:sz w:val="22"/>
          <w:rtl/>
        </w:rPr>
        <w:t>http://www.mercuryconvention.org/</w:t>
      </w:r>
      <w:r w:rsidRPr="00030FF2">
        <w:rPr>
          <w:rFonts w:asciiTheme="majorBidi" w:hAnsiTheme="majorBidi" w:cstheme="majorBidi"/>
          <w:sz w:val="22"/>
          <w:rtl/>
        </w:rPr>
        <w:t>،</w:t>
      </w:r>
      <w:r w:rsidRPr="00030FF2">
        <w:rPr>
          <w:rFonts w:asciiTheme="majorBidi" w:hAnsiTheme="majorBidi" w:cstheme="majorBidi"/>
          <w:sz w:val="22"/>
        </w:rPr>
        <w:t xml:space="preserve"> </w:t>
      </w:r>
      <w:r w:rsidRPr="00030FF2">
        <w:rPr>
          <w:rFonts w:asciiTheme="majorBidi" w:hAnsiTheme="majorBidi" w:cstheme="majorBidi"/>
          <w:sz w:val="22"/>
          <w:rtl/>
        </w:rPr>
        <w:t xml:space="preserve"> تم الدخول إليه في 10 فبراير </w:t>
      </w:r>
      <w:r w:rsidRPr="00030FF2">
        <w:rPr>
          <w:rFonts w:asciiTheme="majorBidi" w:hAnsiTheme="majorBidi" w:cstheme="majorBidi"/>
          <w:sz w:val="22"/>
        </w:rPr>
        <w:t>2021</w:t>
      </w:r>
      <w:r w:rsidRPr="00030FF2">
        <w:rPr>
          <w:rFonts w:asciiTheme="majorBidi" w:hAnsiTheme="majorBidi" w:cstheme="majorBidi"/>
          <w:sz w:val="22"/>
          <w:rtl/>
        </w:rPr>
        <w:t>).</w:t>
      </w:r>
    </w:p>
    <w:p w14:paraId="759EBF05" w14:textId="77777777" w:rsidR="000C59DB" w:rsidRPr="00030FF2" w:rsidRDefault="000C59DB" w:rsidP="000C59DB">
      <w:pPr>
        <w:pStyle w:val="Referencelist"/>
        <w:bidi/>
        <w:rPr>
          <w:rFonts w:asciiTheme="majorBidi" w:hAnsiTheme="majorBidi" w:cstheme="majorBidi"/>
          <w:b/>
          <w:bCs/>
          <w:sz w:val="22"/>
          <w:rtl/>
          <w:lang w:val="en-US"/>
        </w:rPr>
      </w:pPr>
      <w:r w:rsidRPr="00030FF2">
        <w:rPr>
          <w:rFonts w:asciiTheme="majorBidi" w:hAnsiTheme="majorBidi" w:cstheme="majorBidi"/>
          <w:sz w:val="22"/>
        </w:rPr>
        <w:t>8.</w:t>
      </w:r>
      <w:r w:rsidRPr="00030FF2">
        <w:rPr>
          <w:rFonts w:asciiTheme="majorBidi" w:hAnsiTheme="majorBidi" w:cstheme="majorBidi"/>
          <w:sz w:val="22"/>
        </w:rPr>
        <w:tab/>
      </w:r>
      <w:bookmarkStart w:id="121" w:name="_Hlk71033427"/>
      <w:r w:rsidRPr="00030FF2">
        <w:rPr>
          <w:rFonts w:asciiTheme="majorBidi" w:hAnsiTheme="majorBidi" w:cstheme="majorBidi"/>
          <w:sz w:val="22"/>
          <w:rtl/>
          <w:lang w:bidi="ar-SA"/>
        </w:rPr>
        <w:t xml:space="preserve">دليل تفصيلي لوضع استراتيجية للصحة العامة بشأن تعدين الذهب الحرفي والضيق النطاق في سياق اتفاقية </w:t>
      </w:r>
      <w:proofErr w:type="spellStart"/>
      <w:r w:rsidRPr="00030FF2">
        <w:rPr>
          <w:rFonts w:asciiTheme="majorBidi" w:hAnsiTheme="majorBidi" w:cstheme="majorBidi"/>
          <w:sz w:val="22"/>
          <w:rtl/>
          <w:lang w:bidi="ar-SA"/>
        </w:rPr>
        <w:t>ميناماتا</w:t>
      </w:r>
      <w:proofErr w:type="spellEnd"/>
      <w:r w:rsidRPr="00030FF2">
        <w:rPr>
          <w:rFonts w:asciiTheme="majorBidi" w:hAnsiTheme="majorBidi" w:cstheme="majorBidi"/>
          <w:sz w:val="22"/>
          <w:rtl/>
          <w:lang w:bidi="ar-SA"/>
        </w:rPr>
        <w:t xml:space="preserve"> بشأن الزئبق</w:t>
      </w:r>
      <w:bookmarkEnd w:id="121"/>
      <w:r w:rsidRPr="00030FF2">
        <w:rPr>
          <w:rFonts w:asciiTheme="majorBidi" w:hAnsiTheme="majorBidi" w:cstheme="majorBidi"/>
          <w:b/>
          <w:bCs/>
          <w:sz w:val="22"/>
          <w:rtl/>
          <w:lang w:val="en-US"/>
        </w:rPr>
        <w:t xml:space="preserve">، </w:t>
      </w:r>
      <w:r w:rsidRPr="00030FF2">
        <w:rPr>
          <w:rFonts w:asciiTheme="majorBidi" w:hAnsiTheme="majorBidi" w:cstheme="majorBidi"/>
          <w:sz w:val="22"/>
          <w:rtl/>
        </w:rPr>
        <w:t>جنيف: منظمة الصحة العالمية؛ 2021. (</w:t>
      </w:r>
      <w:r w:rsidRPr="008C2A5B">
        <w:rPr>
          <w:rFonts w:asciiTheme="majorBidi" w:hAnsiTheme="majorBidi" w:cstheme="majorBidi"/>
          <w:noProof/>
          <w:sz w:val="22"/>
        </w:rPr>
        <w:t>https://www.who.int/publications/i/item/9789240022768</w:t>
      </w:r>
      <w:r w:rsidRPr="00030FF2">
        <w:rPr>
          <w:rFonts w:asciiTheme="majorBidi" w:hAnsiTheme="majorBidi" w:cstheme="majorBidi"/>
          <w:sz w:val="22"/>
          <w:rtl/>
        </w:rPr>
        <w:t>،</w:t>
      </w:r>
      <w:r w:rsidRPr="00030FF2">
        <w:rPr>
          <w:rFonts w:asciiTheme="majorBidi" w:hAnsiTheme="majorBidi" w:cstheme="majorBidi"/>
          <w:sz w:val="22"/>
        </w:rPr>
        <w:t xml:space="preserve"> </w:t>
      </w:r>
      <w:r w:rsidRPr="00030FF2">
        <w:rPr>
          <w:rFonts w:asciiTheme="majorBidi" w:hAnsiTheme="majorBidi" w:cstheme="majorBidi"/>
          <w:sz w:val="22"/>
          <w:rtl/>
        </w:rPr>
        <w:t xml:space="preserve">الوصول إليه في </w:t>
      </w:r>
      <w:r w:rsidRPr="00030FF2">
        <w:rPr>
          <w:rFonts w:asciiTheme="majorBidi" w:hAnsiTheme="majorBidi" w:cstheme="majorBidi"/>
          <w:sz w:val="22"/>
        </w:rPr>
        <w:t>23</w:t>
      </w:r>
      <w:r w:rsidRPr="00030FF2">
        <w:rPr>
          <w:rFonts w:asciiTheme="majorBidi" w:hAnsiTheme="majorBidi" w:cstheme="majorBidi"/>
          <w:sz w:val="22"/>
          <w:rtl/>
        </w:rPr>
        <w:t xml:space="preserve"> أبريل/نيسان 2021).</w:t>
      </w:r>
    </w:p>
    <w:p w14:paraId="6613075E"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9.</w:t>
      </w:r>
      <w:r w:rsidRPr="00030FF2">
        <w:rPr>
          <w:rFonts w:asciiTheme="majorBidi" w:hAnsiTheme="majorBidi" w:cstheme="majorBidi"/>
          <w:sz w:val="22"/>
        </w:rPr>
        <w:tab/>
        <w:t xml:space="preserve">Winkler MS, </w:t>
      </w:r>
      <w:proofErr w:type="spellStart"/>
      <w:r w:rsidRPr="00030FF2">
        <w:rPr>
          <w:rFonts w:asciiTheme="majorBidi" w:hAnsiTheme="majorBidi" w:cstheme="majorBidi"/>
          <w:sz w:val="22"/>
        </w:rPr>
        <w:t>Divall</w:t>
      </w:r>
      <w:proofErr w:type="spellEnd"/>
      <w:r w:rsidRPr="00030FF2">
        <w:rPr>
          <w:rFonts w:asciiTheme="majorBidi" w:hAnsiTheme="majorBidi" w:cstheme="majorBidi"/>
          <w:sz w:val="22"/>
        </w:rPr>
        <w:t xml:space="preserve"> MJ, Krieger GR, </w:t>
      </w:r>
      <w:proofErr w:type="spellStart"/>
      <w:r w:rsidRPr="00030FF2">
        <w:rPr>
          <w:rFonts w:asciiTheme="majorBidi" w:hAnsiTheme="majorBidi" w:cstheme="majorBidi"/>
          <w:sz w:val="22"/>
        </w:rPr>
        <w:t>Balge</w:t>
      </w:r>
      <w:proofErr w:type="spellEnd"/>
      <w:r w:rsidRPr="00030FF2">
        <w:rPr>
          <w:rFonts w:asciiTheme="majorBidi" w:hAnsiTheme="majorBidi" w:cstheme="majorBidi"/>
          <w:sz w:val="22"/>
        </w:rPr>
        <w:t xml:space="preserve"> MZ, Singer BH, </w:t>
      </w:r>
      <w:proofErr w:type="spellStart"/>
      <w:r w:rsidRPr="00030FF2">
        <w:rPr>
          <w:rFonts w:asciiTheme="majorBidi" w:hAnsiTheme="majorBidi" w:cstheme="majorBidi"/>
          <w:sz w:val="22"/>
        </w:rPr>
        <w:t>Utzinger</w:t>
      </w:r>
      <w:proofErr w:type="spellEnd"/>
      <w:r w:rsidRPr="00030FF2">
        <w:rPr>
          <w:rFonts w:asciiTheme="majorBidi" w:hAnsiTheme="majorBidi" w:cstheme="majorBidi"/>
          <w:sz w:val="22"/>
        </w:rPr>
        <w:t xml:space="preserve"> J. Assessing health impacts in complex eco-epidemiological settings in the humid tropics: the centrality of scoping. Environmental Impact Assessment Review. 2011;31(3):310–9.</w:t>
      </w:r>
      <w:r w:rsidRPr="00030FF2">
        <w:rPr>
          <w:rFonts w:asciiTheme="majorBidi" w:hAnsiTheme="majorBidi" w:cstheme="majorBidi"/>
          <w:sz w:val="22"/>
          <w:rtl/>
        </w:rPr>
        <w:t xml:space="preserve"> (</w:t>
      </w:r>
      <w:r w:rsidRPr="00030FF2">
        <w:rPr>
          <w:rFonts w:asciiTheme="majorBidi" w:hAnsiTheme="majorBidi" w:cstheme="majorBidi"/>
          <w:sz w:val="22"/>
        </w:rPr>
        <w:t xml:space="preserve">Winkler MS, </w:t>
      </w:r>
      <w:proofErr w:type="spellStart"/>
      <w:r w:rsidRPr="00030FF2">
        <w:rPr>
          <w:rFonts w:asciiTheme="majorBidi" w:hAnsiTheme="majorBidi" w:cstheme="majorBidi"/>
          <w:sz w:val="22"/>
        </w:rPr>
        <w:t>Divall</w:t>
      </w:r>
      <w:proofErr w:type="spellEnd"/>
      <w:r w:rsidRPr="00030FF2">
        <w:rPr>
          <w:rFonts w:asciiTheme="majorBidi" w:hAnsiTheme="majorBidi" w:cstheme="majorBidi"/>
          <w:sz w:val="22"/>
        </w:rPr>
        <w:t xml:space="preserve"> MJ, Krieger GR, </w:t>
      </w:r>
      <w:proofErr w:type="spellStart"/>
      <w:r w:rsidRPr="00030FF2">
        <w:rPr>
          <w:rFonts w:asciiTheme="majorBidi" w:hAnsiTheme="majorBidi" w:cstheme="majorBidi"/>
          <w:sz w:val="22"/>
        </w:rPr>
        <w:t>Balge</w:t>
      </w:r>
      <w:proofErr w:type="spellEnd"/>
      <w:r w:rsidRPr="00030FF2">
        <w:rPr>
          <w:rFonts w:asciiTheme="majorBidi" w:hAnsiTheme="majorBidi" w:cstheme="majorBidi"/>
          <w:sz w:val="22"/>
        </w:rPr>
        <w:t xml:space="preserve"> MZ, Singer BH, </w:t>
      </w:r>
      <w:proofErr w:type="spellStart"/>
      <w:r w:rsidRPr="00030FF2">
        <w:rPr>
          <w:rFonts w:asciiTheme="majorBidi" w:hAnsiTheme="majorBidi" w:cstheme="majorBidi"/>
          <w:sz w:val="22"/>
        </w:rPr>
        <w:t>Utzinger</w:t>
      </w:r>
      <w:proofErr w:type="spellEnd"/>
      <w:r w:rsidRPr="00030FF2">
        <w:rPr>
          <w:rFonts w:asciiTheme="majorBidi" w:hAnsiTheme="majorBidi" w:cstheme="majorBidi"/>
          <w:sz w:val="22"/>
        </w:rPr>
        <w:t xml:space="preserve"> J.</w:t>
      </w:r>
      <w:r w:rsidRPr="00030FF2">
        <w:rPr>
          <w:rFonts w:asciiTheme="majorBidi" w:hAnsiTheme="majorBidi" w:cstheme="majorBidi"/>
          <w:sz w:val="22"/>
          <w:rtl/>
        </w:rPr>
        <w:t xml:space="preserve"> تقييم الآثار الصحية في البيئات الوبائية المعقدة في المناطق المدارية الرطبة: مركزية تحديد النطاق. مراجعة تقييم الأثر البيئي. 2011؛</w:t>
      </w:r>
      <w:r w:rsidRPr="00030FF2">
        <w:rPr>
          <w:rFonts w:asciiTheme="majorBidi" w:hAnsiTheme="majorBidi" w:cstheme="majorBidi"/>
          <w:sz w:val="22"/>
        </w:rPr>
        <w:t>31(3):310–9.</w:t>
      </w:r>
      <w:r w:rsidRPr="00030FF2">
        <w:rPr>
          <w:rFonts w:asciiTheme="majorBidi" w:hAnsiTheme="majorBidi" w:cstheme="majorBidi"/>
          <w:sz w:val="22"/>
          <w:rtl/>
        </w:rPr>
        <w:t>)</w:t>
      </w:r>
    </w:p>
    <w:p w14:paraId="030E985D"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10.</w:t>
      </w:r>
      <w:r w:rsidRPr="00030FF2">
        <w:rPr>
          <w:rFonts w:asciiTheme="majorBidi" w:hAnsiTheme="majorBidi" w:cstheme="majorBidi"/>
          <w:sz w:val="22"/>
        </w:rPr>
        <w:tab/>
      </w:r>
      <w:proofErr w:type="spellStart"/>
      <w:r w:rsidRPr="00030FF2">
        <w:rPr>
          <w:rFonts w:asciiTheme="majorBidi" w:hAnsiTheme="majorBidi" w:cstheme="majorBidi"/>
          <w:sz w:val="22"/>
        </w:rPr>
        <w:t>Razum</w:t>
      </w:r>
      <w:proofErr w:type="spellEnd"/>
      <w:r w:rsidRPr="00030FF2">
        <w:rPr>
          <w:rFonts w:asciiTheme="majorBidi" w:hAnsiTheme="majorBidi" w:cstheme="majorBidi"/>
          <w:sz w:val="22"/>
        </w:rPr>
        <w:t xml:space="preserve"> O, </w:t>
      </w:r>
      <w:proofErr w:type="spellStart"/>
      <w:r w:rsidRPr="00030FF2">
        <w:rPr>
          <w:rFonts w:asciiTheme="majorBidi" w:hAnsiTheme="majorBidi" w:cstheme="majorBidi"/>
          <w:sz w:val="22"/>
        </w:rPr>
        <w:t>Gerhardus</w:t>
      </w:r>
      <w:proofErr w:type="spellEnd"/>
      <w:r w:rsidRPr="00030FF2">
        <w:rPr>
          <w:rFonts w:asciiTheme="majorBidi" w:hAnsiTheme="majorBidi" w:cstheme="majorBidi"/>
          <w:sz w:val="22"/>
        </w:rPr>
        <w:t xml:space="preserve"> A. Methodological triangulation in public health research: advancement or mirage? Tropical Medicine and International Health. 1999;4(4):243–4.</w:t>
      </w:r>
      <w:r w:rsidRPr="00030FF2">
        <w:rPr>
          <w:rFonts w:asciiTheme="majorBidi" w:hAnsiTheme="majorBidi" w:cstheme="majorBidi"/>
          <w:sz w:val="22"/>
          <w:rtl/>
        </w:rPr>
        <w:t xml:space="preserve"> (</w:t>
      </w:r>
      <w:proofErr w:type="spellStart"/>
      <w:r w:rsidRPr="00030FF2">
        <w:rPr>
          <w:rFonts w:asciiTheme="majorBidi" w:hAnsiTheme="majorBidi" w:cstheme="majorBidi"/>
          <w:sz w:val="22"/>
        </w:rPr>
        <w:t>Razum</w:t>
      </w:r>
      <w:proofErr w:type="spellEnd"/>
      <w:r w:rsidRPr="00030FF2">
        <w:rPr>
          <w:rFonts w:asciiTheme="majorBidi" w:hAnsiTheme="majorBidi" w:cstheme="majorBidi"/>
          <w:sz w:val="22"/>
        </w:rPr>
        <w:t xml:space="preserve"> O, </w:t>
      </w:r>
      <w:proofErr w:type="spellStart"/>
      <w:r w:rsidRPr="00030FF2">
        <w:rPr>
          <w:rFonts w:asciiTheme="majorBidi" w:hAnsiTheme="majorBidi" w:cstheme="majorBidi"/>
          <w:sz w:val="22"/>
        </w:rPr>
        <w:t>Gerhardus</w:t>
      </w:r>
      <w:proofErr w:type="spellEnd"/>
      <w:r w:rsidRPr="00030FF2">
        <w:rPr>
          <w:rFonts w:asciiTheme="majorBidi" w:hAnsiTheme="majorBidi" w:cstheme="majorBidi"/>
          <w:sz w:val="22"/>
        </w:rPr>
        <w:t xml:space="preserve"> A.</w:t>
      </w:r>
      <w:r w:rsidRPr="00030FF2">
        <w:rPr>
          <w:rFonts w:asciiTheme="majorBidi" w:hAnsiTheme="majorBidi" w:cstheme="majorBidi"/>
          <w:sz w:val="22"/>
          <w:rtl/>
        </w:rPr>
        <w:t xml:space="preserve"> الفحص المنهجي في أبحاث الصحة العامة: تقدم أم سراب؟ طب المناطق الحارة والصحة الدولية. 1999؛</w:t>
      </w:r>
      <w:r w:rsidRPr="00030FF2">
        <w:rPr>
          <w:rFonts w:asciiTheme="majorBidi" w:hAnsiTheme="majorBidi" w:cstheme="majorBidi"/>
          <w:sz w:val="22"/>
        </w:rPr>
        <w:t xml:space="preserve">4(4):243–4. </w:t>
      </w:r>
      <w:r w:rsidRPr="00030FF2">
        <w:rPr>
          <w:rFonts w:asciiTheme="majorBidi" w:hAnsiTheme="majorBidi" w:cstheme="majorBidi"/>
          <w:sz w:val="22"/>
          <w:rtl/>
        </w:rPr>
        <w:t>)</w:t>
      </w:r>
    </w:p>
    <w:p w14:paraId="61F7DAE2"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lastRenderedPageBreak/>
        <w:t>11.</w:t>
      </w:r>
      <w:r w:rsidRPr="00030FF2">
        <w:rPr>
          <w:rFonts w:asciiTheme="majorBidi" w:hAnsiTheme="majorBidi" w:cstheme="majorBidi"/>
          <w:sz w:val="22"/>
        </w:rPr>
        <w:tab/>
        <w:t xml:space="preserve">De </w:t>
      </w:r>
      <w:proofErr w:type="spellStart"/>
      <w:r w:rsidRPr="00030FF2">
        <w:rPr>
          <w:rFonts w:asciiTheme="majorBidi" w:hAnsiTheme="majorBidi" w:cstheme="majorBidi"/>
          <w:sz w:val="22"/>
        </w:rPr>
        <w:t>Swardt</w:t>
      </w:r>
      <w:proofErr w:type="spellEnd"/>
      <w:r w:rsidRPr="00030FF2">
        <w:rPr>
          <w:rFonts w:asciiTheme="majorBidi" w:hAnsiTheme="majorBidi" w:cstheme="majorBidi"/>
          <w:sz w:val="22"/>
        </w:rPr>
        <w:t xml:space="preserve"> AMI. </w:t>
      </w:r>
      <w:r w:rsidRPr="00030FF2">
        <w:rPr>
          <w:rFonts w:asciiTheme="majorBidi" w:hAnsiTheme="majorBidi" w:cstheme="majorBidi"/>
          <w:iCs/>
          <w:sz w:val="22"/>
        </w:rPr>
        <w:t>The geological inventory around Ilesha.</w:t>
      </w:r>
      <w:r w:rsidRPr="00030FF2">
        <w:rPr>
          <w:rFonts w:asciiTheme="majorBidi" w:hAnsiTheme="majorBidi" w:cstheme="majorBidi"/>
          <w:sz w:val="22"/>
        </w:rPr>
        <w:t xml:space="preserve"> Geological Survey of Nigeria Bulletin. 1953:23.</w:t>
      </w:r>
      <w:r w:rsidRPr="00030FF2">
        <w:rPr>
          <w:rFonts w:asciiTheme="majorBidi" w:hAnsiTheme="majorBidi" w:cstheme="majorBidi"/>
          <w:sz w:val="22"/>
          <w:rtl/>
        </w:rPr>
        <w:t xml:space="preserve"> (</w:t>
      </w:r>
      <w:r w:rsidRPr="00030FF2">
        <w:rPr>
          <w:rFonts w:asciiTheme="majorBidi" w:hAnsiTheme="majorBidi" w:cstheme="majorBidi"/>
          <w:sz w:val="22"/>
        </w:rPr>
        <w:t xml:space="preserve">De </w:t>
      </w:r>
      <w:proofErr w:type="spellStart"/>
      <w:r w:rsidRPr="00030FF2">
        <w:rPr>
          <w:rFonts w:asciiTheme="majorBidi" w:hAnsiTheme="majorBidi" w:cstheme="majorBidi"/>
          <w:sz w:val="22"/>
        </w:rPr>
        <w:t>Swardt</w:t>
      </w:r>
      <w:proofErr w:type="spellEnd"/>
      <w:r w:rsidRPr="00030FF2">
        <w:rPr>
          <w:rFonts w:asciiTheme="majorBidi" w:hAnsiTheme="majorBidi" w:cstheme="majorBidi"/>
          <w:sz w:val="22"/>
        </w:rPr>
        <w:t xml:space="preserve"> AMI.</w:t>
      </w:r>
      <w:r w:rsidRPr="00030FF2">
        <w:rPr>
          <w:rFonts w:asciiTheme="majorBidi" w:hAnsiTheme="majorBidi" w:cstheme="majorBidi"/>
          <w:sz w:val="22"/>
          <w:rtl/>
        </w:rPr>
        <w:t xml:space="preserve"> الجرد الجيولوجي حول </w:t>
      </w:r>
      <w:proofErr w:type="spellStart"/>
      <w:r w:rsidRPr="00030FF2">
        <w:rPr>
          <w:rFonts w:asciiTheme="majorBidi" w:hAnsiTheme="majorBidi" w:cstheme="majorBidi"/>
          <w:sz w:val="22"/>
          <w:rtl/>
        </w:rPr>
        <w:t>إليشا</w:t>
      </w:r>
      <w:proofErr w:type="spellEnd"/>
      <w:r w:rsidRPr="00030FF2">
        <w:rPr>
          <w:rFonts w:asciiTheme="majorBidi" w:hAnsiTheme="majorBidi" w:cstheme="majorBidi"/>
          <w:sz w:val="22"/>
          <w:rtl/>
        </w:rPr>
        <w:t>. المسح الجيولوجي لنشرة نيجيريا.</w:t>
      </w:r>
      <w:r w:rsidRPr="00030FF2">
        <w:rPr>
          <w:rFonts w:asciiTheme="majorBidi" w:hAnsiTheme="majorBidi" w:cstheme="majorBidi"/>
          <w:sz w:val="22"/>
        </w:rPr>
        <w:t>1953:23</w:t>
      </w:r>
      <w:r w:rsidRPr="00030FF2">
        <w:rPr>
          <w:rFonts w:asciiTheme="majorBidi" w:hAnsiTheme="majorBidi" w:cstheme="majorBidi"/>
          <w:sz w:val="22"/>
          <w:rtl/>
        </w:rPr>
        <w:t>)</w:t>
      </w:r>
    </w:p>
    <w:p w14:paraId="7C950BA8" w14:textId="77777777" w:rsidR="000C59DB" w:rsidRPr="00030FF2" w:rsidRDefault="000C59DB" w:rsidP="000C59DB">
      <w:pPr>
        <w:pStyle w:val="Referencelist"/>
        <w:bidi/>
        <w:rPr>
          <w:rFonts w:asciiTheme="majorBidi" w:hAnsiTheme="majorBidi" w:cstheme="majorBidi"/>
          <w:b/>
          <w:bCs/>
          <w:sz w:val="22"/>
          <w:rtl/>
          <w:lang w:val="en-US"/>
        </w:rPr>
      </w:pPr>
      <w:r w:rsidRPr="00030FF2">
        <w:rPr>
          <w:rFonts w:asciiTheme="majorBidi" w:hAnsiTheme="majorBidi" w:cstheme="majorBidi"/>
          <w:sz w:val="22"/>
        </w:rPr>
        <w:t>12.</w:t>
      </w:r>
      <w:r w:rsidRPr="00030FF2">
        <w:rPr>
          <w:rFonts w:asciiTheme="majorBidi" w:hAnsiTheme="majorBidi" w:cstheme="majorBidi"/>
          <w:sz w:val="22"/>
        </w:rPr>
        <w:tab/>
      </w:r>
      <w:r w:rsidRPr="00030FF2">
        <w:rPr>
          <w:rFonts w:asciiTheme="majorBidi" w:hAnsiTheme="majorBidi" w:cstheme="majorBidi"/>
          <w:sz w:val="22"/>
          <w:rtl/>
          <w:lang w:bidi="ar-SA"/>
        </w:rPr>
        <w:t>النص المقرر إدراجه في نماذج جمع البيانات الواردة في جميع أدوات جمع البيانات (الورقية أو الإلكترونية أو ما سواها) التي تستخدمها المنظمة في جمع البيانات من الدول الأعضاء</w:t>
      </w:r>
      <w:r w:rsidRPr="00030FF2">
        <w:rPr>
          <w:rFonts w:asciiTheme="majorBidi" w:hAnsiTheme="majorBidi" w:cstheme="majorBidi"/>
          <w:sz w:val="22"/>
          <w:rtl/>
          <w:lang w:val="en-US" w:bidi="ar-SA"/>
        </w:rPr>
        <w:t xml:space="preserve"> </w:t>
      </w:r>
      <w:r w:rsidRPr="00030FF2">
        <w:rPr>
          <w:rFonts w:asciiTheme="majorBidi" w:hAnsiTheme="majorBidi" w:cstheme="majorBidi"/>
          <w:sz w:val="22"/>
          <w:rtl/>
        </w:rPr>
        <w:t>(</w:t>
      </w:r>
      <w:r w:rsidRPr="00030FF2">
        <w:rPr>
          <w:rStyle w:val="Hyperlink"/>
          <w:rFonts w:asciiTheme="majorBidi" w:hAnsiTheme="majorBidi" w:cstheme="majorBidi"/>
          <w:sz w:val="22"/>
          <w:rtl/>
        </w:rPr>
        <w:t>https://www.who.int/about/who-we-are/publishing-policies/data-policy/text-for-inclusion-in-data-collection-forms</w:t>
      </w:r>
      <w:r w:rsidRPr="00030FF2">
        <w:rPr>
          <w:rFonts w:asciiTheme="majorBidi" w:hAnsiTheme="majorBidi" w:cstheme="majorBidi"/>
          <w:sz w:val="22"/>
          <w:rtl/>
        </w:rPr>
        <w:t>،</w:t>
      </w:r>
      <w:r w:rsidRPr="00030FF2">
        <w:rPr>
          <w:rFonts w:asciiTheme="majorBidi" w:hAnsiTheme="majorBidi" w:cstheme="majorBidi"/>
          <w:sz w:val="22"/>
        </w:rPr>
        <w:t xml:space="preserve"> </w:t>
      </w:r>
      <w:r w:rsidRPr="00030FF2">
        <w:rPr>
          <w:rFonts w:asciiTheme="majorBidi" w:hAnsiTheme="majorBidi" w:cstheme="majorBidi"/>
          <w:sz w:val="22"/>
          <w:rtl/>
        </w:rPr>
        <w:t>تم الوصول إليه في 13 فبراير 2021).</w:t>
      </w:r>
    </w:p>
    <w:p w14:paraId="7CED3107"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13.</w:t>
      </w:r>
      <w:r w:rsidRPr="00030FF2">
        <w:rPr>
          <w:rFonts w:asciiTheme="majorBidi" w:hAnsiTheme="majorBidi" w:cstheme="majorBidi"/>
          <w:sz w:val="22"/>
        </w:rPr>
        <w:tab/>
      </w:r>
      <w:r w:rsidRPr="00030FF2">
        <w:rPr>
          <w:rFonts w:asciiTheme="majorBidi" w:hAnsiTheme="majorBidi" w:cstheme="majorBidi"/>
          <w:sz w:val="22"/>
          <w:rtl/>
        </w:rPr>
        <w:t>الرصد البيولوجي البشري في تعدين الذهب الحرفي وضيق النطاق: المبادئ الأخلاقية والعلمية. جنيف: منظمة الصحة العالمية؛ 2021. (</w:t>
      </w:r>
      <w:r w:rsidRPr="008C2A5B">
        <w:rPr>
          <w:rFonts w:asciiTheme="majorBidi" w:hAnsiTheme="majorBidi" w:cstheme="majorBidi"/>
          <w:noProof/>
          <w:sz w:val="22"/>
        </w:rPr>
        <w:t>https://apps.who.int/iris/handle/10665/339848</w:t>
      </w:r>
      <w:r w:rsidRPr="00030FF2">
        <w:rPr>
          <w:rFonts w:asciiTheme="majorBidi" w:hAnsiTheme="majorBidi" w:cstheme="majorBidi"/>
          <w:sz w:val="22"/>
          <w:rtl/>
        </w:rPr>
        <w:t>، تم الاطلاع عليه في 18 مارس 2021).</w:t>
      </w:r>
    </w:p>
    <w:p w14:paraId="327EC345" w14:textId="77777777" w:rsidR="000C59DB" w:rsidRPr="00030FF2"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14.</w:t>
      </w:r>
      <w:r w:rsidRPr="00030FF2">
        <w:rPr>
          <w:rFonts w:asciiTheme="majorBidi" w:hAnsiTheme="majorBidi" w:cstheme="majorBidi"/>
          <w:sz w:val="22"/>
        </w:rPr>
        <w:tab/>
        <w:t>International Ethical Guidelines for Health-Related Research Involving Humans, fourth edition. Geneva: Council for International Organizations of Medical Sciences and World Health Organization; 2016.</w:t>
      </w:r>
      <w:r w:rsidRPr="00030FF2">
        <w:rPr>
          <w:rFonts w:asciiTheme="majorBidi" w:hAnsiTheme="majorBidi" w:cstheme="majorBidi"/>
          <w:sz w:val="22"/>
          <w:rtl/>
        </w:rPr>
        <w:t xml:space="preserve"> (المبادئ التوجيهية الأخلاقية الدولية للبحوث المتعلقة بالصحة التي تشمل البشر، الطبعة الرابعة. جنيف: مجلس المنظمات الدولية للعلوم الطبية ومنظمة الصحة العالمية؛ 2016.)</w:t>
      </w:r>
    </w:p>
    <w:p w14:paraId="4415ECEE" w14:textId="6D8FCF25" w:rsidR="000C59DB"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15.</w:t>
      </w:r>
      <w:r w:rsidRPr="00030FF2">
        <w:rPr>
          <w:rFonts w:asciiTheme="majorBidi" w:hAnsiTheme="majorBidi" w:cstheme="majorBidi"/>
          <w:sz w:val="22"/>
        </w:rPr>
        <w:tab/>
      </w:r>
      <w:r w:rsidRPr="00030FF2">
        <w:rPr>
          <w:rFonts w:asciiTheme="majorBidi" w:hAnsiTheme="majorBidi" w:cstheme="majorBidi"/>
          <w:sz w:val="22"/>
          <w:rtl/>
        </w:rPr>
        <w:t>اتفاقية بشأن حظر أسوأ أشكال عمل الأطفال والقضاء عليها، 1999 (رقم 182). جنيف: منظمة العمل الدولية؛ 1999 (</w:t>
      </w:r>
      <w:r w:rsidRPr="008C2A5B">
        <w:rPr>
          <w:rFonts w:asciiTheme="majorBidi" w:hAnsiTheme="majorBidi" w:cstheme="majorBidi"/>
          <w:noProof/>
          <w:sz w:val="22"/>
          <w:lang w:val="en-US"/>
        </w:rPr>
        <w:t>https://www.ilo.org/dyn/normlex/en</w:t>
      </w:r>
      <w:r w:rsidRPr="00030FF2">
        <w:rPr>
          <w:rFonts w:asciiTheme="majorBidi" w:hAnsiTheme="majorBidi" w:cstheme="majorBidi"/>
          <w:sz w:val="22"/>
          <w:rtl/>
        </w:rPr>
        <w:t xml:space="preserve"> ، تم الوصول إليه في 3 فبراير 2021).</w:t>
      </w:r>
    </w:p>
    <w:p w14:paraId="182F4F83" w14:textId="7F17385E" w:rsidR="000C59DB" w:rsidRDefault="000C59DB" w:rsidP="000C59DB">
      <w:pPr>
        <w:pStyle w:val="Referencelist"/>
        <w:bidi/>
        <w:rPr>
          <w:rFonts w:asciiTheme="majorBidi" w:hAnsiTheme="majorBidi" w:cstheme="majorBidi"/>
          <w:sz w:val="22"/>
          <w:rtl/>
        </w:rPr>
      </w:pPr>
      <w:r w:rsidRPr="00030FF2">
        <w:rPr>
          <w:rFonts w:asciiTheme="majorBidi" w:hAnsiTheme="majorBidi" w:cstheme="majorBidi"/>
          <w:sz w:val="22"/>
        </w:rPr>
        <w:t>16.</w:t>
      </w:r>
      <w:r w:rsidRPr="00030FF2">
        <w:rPr>
          <w:rFonts w:asciiTheme="majorBidi" w:hAnsiTheme="majorBidi" w:cstheme="majorBidi"/>
          <w:sz w:val="22"/>
        </w:rPr>
        <w:tab/>
      </w:r>
      <w:r w:rsidRPr="00030FF2">
        <w:rPr>
          <w:rFonts w:asciiTheme="majorBidi" w:hAnsiTheme="majorBidi" w:cstheme="majorBidi"/>
          <w:sz w:val="22"/>
          <w:rtl/>
        </w:rPr>
        <w:t>اتفاقية المواد الكيميائية، 1990 (رقم 170)، وتوصية المواد الكيميائية، 1990 (رقم 177. جنيف؛ المنظمة الدولية للعمالة؛ 1990) (</w:t>
      </w:r>
      <w:r w:rsidRPr="008C2A5B">
        <w:rPr>
          <w:rFonts w:asciiTheme="majorBidi" w:hAnsiTheme="majorBidi" w:cstheme="majorBidi"/>
          <w:noProof/>
          <w:sz w:val="22"/>
          <w:lang w:val="en-US"/>
        </w:rPr>
        <w:t>https://www.ilo.org/dyn/normlex/en</w:t>
      </w:r>
      <w:r w:rsidRPr="00030FF2">
        <w:rPr>
          <w:rFonts w:asciiTheme="majorBidi" w:hAnsiTheme="majorBidi" w:cstheme="majorBidi"/>
          <w:sz w:val="22"/>
          <w:rtl/>
        </w:rPr>
        <w:t>، تم الوصول إليه في 11 فبراير 2021).</w:t>
      </w:r>
    </w:p>
    <w:p w14:paraId="6A0A2164" w14:textId="0C64C136" w:rsidR="000C59DB" w:rsidRPr="00030FF2" w:rsidRDefault="00CC1B8A" w:rsidP="000C59DB">
      <w:pPr>
        <w:pStyle w:val="Referencelist"/>
        <w:bidi/>
        <w:rPr>
          <w:rFonts w:asciiTheme="majorBidi" w:hAnsiTheme="majorBidi" w:cstheme="majorBidi"/>
          <w:sz w:val="22"/>
          <w:rtl/>
        </w:rPr>
      </w:pPr>
      <w:r>
        <w:rPr>
          <w:rFonts w:asciiTheme="majorBidi" w:hAnsiTheme="majorBidi" w:cstheme="majorBidi" w:hint="cs"/>
          <w:sz w:val="22"/>
          <w:rtl/>
        </w:rPr>
        <w:t>.17</w:t>
      </w:r>
      <w:r w:rsidR="000C59DB" w:rsidRPr="00030FF2">
        <w:rPr>
          <w:rFonts w:asciiTheme="majorBidi" w:hAnsiTheme="majorBidi" w:cstheme="majorBidi"/>
          <w:sz w:val="22"/>
          <w:rtl/>
        </w:rPr>
        <w:tab/>
        <w:t>وثيقة توجيهية بشأن إعداد خطط العمل الوطنية لتعدين الذهب الحرفي والضيق النطاق.</w:t>
      </w:r>
      <w:r w:rsidR="000C59DB" w:rsidRPr="00030FF2">
        <w:rPr>
          <w:rFonts w:asciiTheme="majorBidi" w:hAnsiTheme="majorBidi" w:cstheme="majorBidi"/>
          <w:sz w:val="22"/>
        </w:rPr>
        <w:t xml:space="preserve"> </w:t>
      </w:r>
      <w:r w:rsidR="000C59DB" w:rsidRPr="00030FF2">
        <w:rPr>
          <w:rFonts w:asciiTheme="majorBidi" w:hAnsiTheme="majorBidi" w:cstheme="majorBidi"/>
          <w:sz w:val="22"/>
          <w:rtl/>
        </w:rPr>
        <w:t>نيروبي:</w:t>
      </w:r>
      <w:r w:rsidR="000C59DB" w:rsidRPr="00030FF2">
        <w:rPr>
          <w:rFonts w:asciiTheme="majorBidi" w:hAnsiTheme="majorBidi" w:cstheme="majorBidi"/>
          <w:sz w:val="22"/>
        </w:rPr>
        <w:t xml:space="preserve"> </w:t>
      </w:r>
      <w:r w:rsidR="000C59DB" w:rsidRPr="00030FF2">
        <w:rPr>
          <w:rFonts w:asciiTheme="majorBidi" w:hAnsiTheme="majorBidi" w:cstheme="majorBidi"/>
          <w:sz w:val="22"/>
          <w:rtl/>
        </w:rPr>
        <w:t>برنامج الأمم المتحدة للبيئة؛ 2017 (</w:t>
      </w:r>
      <w:r w:rsidR="000C59DB" w:rsidRPr="008C2A5B">
        <w:rPr>
          <w:rFonts w:asciiTheme="majorBidi" w:hAnsiTheme="majorBidi" w:cstheme="majorBidi"/>
          <w:noProof/>
          <w:sz w:val="22"/>
        </w:rPr>
        <w:t>https://wedocs.unep.org/handle/20.500.11822/25473</w:t>
      </w:r>
      <w:r w:rsidR="000C59DB" w:rsidRPr="00030FF2">
        <w:rPr>
          <w:rFonts w:asciiTheme="majorBidi" w:hAnsiTheme="majorBidi" w:cstheme="majorBidi"/>
          <w:sz w:val="22"/>
          <w:rtl/>
        </w:rPr>
        <w:t>، تم الدخول إليه في 3 فبراير 2021).</w:t>
      </w:r>
    </w:p>
    <w:p w14:paraId="21AFDA23" w14:textId="77777777" w:rsidR="000C59DB" w:rsidRDefault="000C59DB" w:rsidP="000C59DB"/>
    <w:p w14:paraId="2F7B714A" w14:textId="739556C8" w:rsidR="00BB0002" w:rsidRPr="000C59DB" w:rsidRDefault="00BB0002" w:rsidP="00A5640C">
      <w:pPr>
        <w:rPr>
          <w:rFonts w:asciiTheme="majorBidi" w:hAnsiTheme="majorBidi" w:cstheme="majorBidi"/>
          <w:szCs w:val="24"/>
        </w:rPr>
      </w:pPr>
    </w:p>
    <w:p w14:paraId="2DB5DD6E" w14:textId="77777777" w:rsidR="00D84FC3" w:rsidRPr="00E63DCC" w:rsidRDefault="00D84FC3" w:rsidP="00A5640C">
      <w:pPr>
        <w:bidi/>
        <w:spacing w:after="0"/>
        <w:rPr>
          <w:rFonts w:eastAsia="Times New Roman"/>
          <w:b/>
          <w:bCs/>
          <w:kern w:val="32"/>
          <w:sz w:val="28"/>
          <w:szCs w:val="28"/>
          <w:rtl/>
        </w:rPr>
      </w:pPr>
      <w:r>
        <w:rPr>
          <w:rFonts w:hint="cs"/>
          <w:rtl/>
        </w:rPr>
        <w:br w:type="page"/>
      </w:r>
      <w:bookmarkStart w:id="122" w:name="_GoBack"/>
      <w:bookmarkEnd w:id="122"/>
    </w:p>
    <w:p w14:paraId="57851140" w14:textId="097CDC00" w:rsidR="00AF6321" w:rsidRPr="00E63DCC" w:rsidRDefault="00D84FC3" w:rsidP="00B02FA3">
      <w:pPr>
        <w:pStyle w:val="Heading1"/>
        <w:bidi/>
        <w:rPr>
          <w:rtl/>
        </w:rPr>
      </w:pPr>
      <w:bookmarkStart w:id="123" w:name="_Toc67301081"/>
      <w:bookmarkStart w:id="124" w:name="_Toc71095525"/>
      <w:r>
        <w:rPr>
          <w:rFonts w:hint="cs"/>
          <w:rtl/>
        </w:rPr>
        <w:lastRenderedPageBreak/>
        <w:t xml:space="preserve">الملحق أ. </w:t>
      </w:r>
      <w:bookmarkStart w:id="125" w:name="_Ref482618249"/>
      <w:bookmarkStart w:id="126" w:name="_Ref479604649"/>
      <w:r>
        <w:rPr>
          <w:rFonts w:hint="cs"/>
          <w:rtl/>
        </w:rPr>
        <w:t xml:space="preserve">المادة 7 من اتفاقية </w:t>
      </w:r>
      <w:proofErr w:type="spellStart"/>
      <w:r>
        <w:rPr>
          <w:rFonts w:hint="cs"/>
          <w:rtl/>
        </w:rPr>
        <w:t>ميناماتا</w:t>
      </w:r>
      <w:proofErr w:type="spellEnd"/>
      <w:r>
        <w:rPr>
          <w:rFonts w:hint="cs"/>
          <w:rtl/>
        </w:rPr>
        <w:t>: تعدين الذهب الحرفي والضيق النطاق</w:t>
      </w:r>
      <w:bookmarkEnd w:id="123"/>
      <w:bookmarkEnd w:id="124"/>
      <w:bookmarkEnd w:id="125"/>
    </w:p>
    <w:p w14:paraId="26F3B0D3" w14:textId="77777777" w:rsidR="00AF6321" w:rsidRPr="00E63DCC" w:rsidRDefault="00AF6321" w:rsidP="00B907B5">
      <w:pPr>
        <w:pStyle w:val="ListParagraph"/>
        <w:numPr>
          <w:ilvl w:val="0"/>
          <w:numId w:val="11"/>
        </w:numPr>
        <w:bidi/>
        <w:spacing w:after="120"/>
        <w:ind w:left="426" w:hanging="426"/>
        <w:rPr>
          <w:rtl/>
        </w:rPr>
      </w:pPr>
      <w:r>
        <w:rPr>
          <w:rFonts w:hint="cs"/>
          <w:rtl/>
        </w:rPr>
        <w:t>تنطبق التدابير الواردة في هذه المادة وفي الملحق "ج" على تعدين الذهب الحرفي والضيق النطاق ومعالجته التي يستخدم فيها ملغم الزئبق لاستخراج الذهب من الركاز.</w:t>
      </w:r>
    </w:p>
    <w:p w14:paraId="6DD349B2" w14:textId="77777777" w:rsidR="00AF6321" w:rsidRPr="00E63DCC" w:rsidRDefault="00AF6321" w:rsidP="00B907B5">
      <w:pPr>
        <w:pStyle w:val="ListParagraph"/>
        <w:numPr>
          <w:ilvl w:val="0"/>
          <w:numId w:val="11"/>
        </w:numPr>
        <w:bidi/>
        <w:spacing w:after="120"/>
        <w:ind w:left="426" w:hanging="426"/>
        <w:rPr>
          <w:rtl/>
        </w:rPr>
      </w:pPr>
      <w:r>
        <w:rPr>
          <w:rFonts w:hint="cs"/>
          <w:rtl/>
        </w:rPr>
        <w:t>يتخذ كل طرف، تجري في أراضيه عملية تعدين أو تصنيع حرفي وضيق النطاق للذهب، خاضعة لهذه المادة، خطوات للحد من استخدام الزئبق ومركباته، والتخلص منه حيثما أمكن، في هذا التعدين والتصنيع، ومنع الانبعاثات وإطلاق المواد من هذا التعدين والتصنيع في البيئة.</w:t>
      </w:r>
      <w:r>
        <w:t xml:space="preserve"> </w:t>
      </w:r>
    </w:p>
    <w:p w14:paraId="5DBF1099" w14:textId="77777777" w:rsidR="00AF6321" w:rsidRPr="00E63DCC" w:rsidRDefault="00AF6321" w:rsidP="00B907B5">
      <w:pPr>
        <w:pStyle w:val="ListParagraph"/>
        <w:numPr>
          <w:ilvl w:val="0"/>
          <w:numId w:val="11"/>
        </w:numPr>
        <w:bidi/>
        <w:spacing w:after="120"/>
        <w:ind w:left="426" w:hanging="426"/>
        <w:rPr>
          <w:rtl/>
        </w:rPr>
      </w:pPr>
      <w:r>
        <w:rPr>
          <w:rFonts w:hint="cs"/>
          <w:rtl/>
        </w:rPr>
        <w:t>يخطر كل طرف الأمانة إذا كان قد قرر، في أي وقت كان، أن تعدين وتصنيع الذهب الحرفي والضيق النطاق في أراضيه هو أكثر من كونه عديم الأهمية.</w:t>
      </w:r>
      <w:r>
        <w:t xml:space="preserve"> </w:t>
      </w:r>
      <w:r>
        <w:rPr>
          <w:rFonts w:hint="cs"/>
          <w:rtl/>
        </w:rPr>
        <w:t>ويقوم الطرف، إذا قرر ذلك، بما يلي:</w:t>
      </w:r>
    </w:p>
    <w:p w14:paraId="05EC9CD2" w14:textId="77777777" w:rsidR="00AF6321" w:rsidRPr="00E63DCC" w:rsidRDefault="00AF6321" w:rsidP="00B907B5">
      <w:pPr>
        <w:pStyle w:val="ListParagraph"/>
        <w:numPr>
          <w:ilvl w:val="1"/>
          <w:numId w:val="11"/>
        </w:numPr>
        <w:bidi/>
        <w:spacing w:after="120"/>
        <w:ind w:left="851" w:hanging="425"/>
        <w:rPr>
          <w:rtl/>
        </w:rPr>
      </w:pPr>
      <w:r>
        <w:rPr>
          <w:rFonts w:hint="cs"/>
          <w:rtl/>
        </w:rPr>
        <w:t>وضع وتنفيذ خطة عمل وطنية وفقاً للمرفق "ج؛</w:t>
      </w:r>
      <w:r>
        <w:t xml:space="preserve"> </w:t>
      </w:r>
    </w:p>
    <w:p w14:paraId="6148D298" w14:textId="77777777" w:rsidR="00AF6321" w:rsidRPr="00E63DCC" w:rsidRDefault="00AF6321" w:rsidP="00B907B5">
      <w:pPr>
        <w:pStyle w:val="ListParagraph"/>
        <w:numPr>
          <w:ilvl w:val="1"/>
          <w:numId w:val="11"/>
        </w:numPr>
        <w:bidi/>
        <w:spacing w:after="120"/>
        <w:ind w:left="851" w:hanging="425"/>
        <w:rPr>
          <w:rtl/>
        </w:rPr>
      </w:pPr>
      <w:r>
        <w:rPr>
          <w:rFonts w:hint="cs"/>
          <w:rtl/>
        </w:rPr>
        <w:t>تقديم خطة عمله الوطنية إلى الأمانة في موعد لا يتجاوز ثلاث سنوات بعد بدء نفاذ الاتفاقية بالنسبة له أو بعد ثلاث سنوات من إرسال الإخطار إلى الأمانة، أيهما أبعد</w:t>
      </w:r>
    </w:p>
    <w:p w14:paraId="41C3F4CC" w14:textId="77777777" w:rsidR="00AF6321" w:rsidRPr="00E63DCC" w:rsidRDefault="00AF6321" w:rsidP="00B907B5">
      <w:pPr>
        <w:pStyle w:val="ListParagraph"/>
        <w:numPr>
          <w:ilvl w:val="1"/>
          <w:numId w:val="11"/>
        </w:numPr>
        <w:bidi/>
        <w:spacing w:after="120"/>
        <w:ind w:left="851" w:hanging="425"/>
        <w:rPr>
          <w:rtl/>
        </w:rPr>
      </w:pPr>
      <w:r>
        <w:rPr>
          <w:rFonts w:hint="cs"/>
          <w:rtl/>
        </w:rPr>
        <w:t>القيام بعد ذلك بتقديم استعراض كل ثلاث سنوات للتقدم المحرز في الوفاء بالتزاماته بموجب هذه المادة وإدراج هذه الاستعراضات في تقاريره المقدمة عملاً بالمادة 21.</w:t>
      </w:r>
    </w:p>
    <w:p w14:paraId="15931F50" w14:textId="77777777" w:rsidR="00AF6321" w:rsidRPr="00E63DCC" w:rsidRDefault="00AF6321" w:rsidP="00B907B5">
      <w:pPr>
        <w:pStyle w:val="ListParagraph"/>
        <w:numPr>
          <w:ilvl w:val="0"/>
          <w:numId w:val="11"/>
        </w:numPr>
        <w:bidi/>
        <w:spacing w:after="120"/>
        <w:ind w:left="426" w:hanging="426"/>
        <w:rPr>
          <w:rtl/>
        </w:rPr>
      </w:pPr>
      <w:r>
        <w:rPr>
          <w:rFonts w:hint="cs"/>
          <w:rtl/>
        </w:rPr>
        <w:t>يجوز للأطراف أن تتعاون مع بعضها البعض ومع المنظمات الحكومية الدولية المختصة والكيانات الأخرى، وفقاً للمقتضى، لتحقيق أهداف هذه المادة.</w:t>
      </w:r>
      <w:r>
        <w:t xml:space="preserve"> </w:t>
      </w:r>
      <w:r>
        <w:rPr>
          <w:rFonts w:hint="cs"/>
          <w:rtl/>
        </w:rPr>
        <w:t>ويجوز أن يشمل هذا التعاون ما يلي:</w:t>
      </w:r>
    </w:p>
    <w:p w14:paraId="4824F470" w14:textId="77777777" w:rsidR="00AF6321" w:rsidRPr="00E63DCC" w:rsidRDefault="00AF6321" w:rsidP="00B907B5">
      <w:pPr>
        <w:pStyle w:val="ListParagraph"/>
        <w:numPr>
          <w:ilvl w:val="1"/>
          <w:numId w:val="11"/>
        </w:numPr>
        <w:bidi/>
        <w:spacing w:after="120"/>
        <w:ind w:left="851" w:hanging="425"/>
        <w:rPr>
          <w:rtl/>
        </w:rPr>
      </w:pPr>
      <w:r>
        <w:rPr>
          <w:rFonts w:hint="cs"/>
          <w:rtl/>
        </w:rPr>
        <w:t>وضع استراتيجيات لمنع تحويل وجهة الزئبق أو مركبات الزئبق لاستخدامها في تعدين وتصنيع الذهب الحرفي والضيق النطاق؛</w:t>
      </w:r>
    </w:p>
    <w:p w14:paraId="4CC24541" w14:textId="77777777" w:rsidR="00AF6321" w:rsidRPr="00E63DCC" w:rsidRDefault="00AF6321" w:rsidP="00B907B5">
      <w:pPr>
        <w:pStyle w:val="ListParagraph"/>
        <w:numPr>
          <w:ilvl w:val="1"/>
          <w:numId w:val="11"/>
        </w:numPr>
        <w:bidi/>
        <w:spacing w:after="120"/>
        <w:ind w:left="851" w:hanging="425"/>
        <w:rPr>
          <w:rtl/>
        </w:rPr>
      </w:pPr>
      <w:r>
        <w:rPr>
          <w:rFonts w:hint="cs"/>
          <w:rtl/>
        </w:rPr>
        <w:t>مبادرات التثقيف والتوعية وبناء القدرات؛</w:t>
      </w:r>
      <w:r>
        <w:t xml:space="preserve"> </w:t>
      </w:r>
    </w:p>
    <w:p w14:paraId="53E79CEA" w14:textId="77777777" w:rsidR="00AF6321" w:rsidRPr="00E63DCC" w:rsidRDefault="00AF6321" w:rsidP="00B907B5">
      <w:pPr>
        <w:pStyle w:val="ListParagraph"/>
        <w:numPr>
          <w:ilvl w:val="1"/>
          <w:numId w:val="11"/>
        </w:numPr>
        <w:bidi/>
        <w:spacing w:after="120"/>
        <w:ind w:left="851" w:hanging="425"/>
        <w:rPr>
          <w:rtl/>
        </w:rPr>
      </w:pPr>
      <w:r>
        <w:rPr>
          <w:rFonts w:hint="cs"/>
          <w:rtl/>
        </w:rPr>
        <w:t>تشجيع إجراء بحوث بشأن الممارسات المستدامة لبدائل خلاف الزئبق؛</w:t>
      </w:r>
      <w:r>
        <w:t xml:space="preserve"> </w:t>
      </w:r>
    </w:p>
    <w:p w14:paraId="777B8FBA" w14:textId="77777777" w:rsidR="00AF6321" w:rsidRPr="00E63DCC" w:rsidRDefault="00AF6321" w:rsidP="00B907B5">
      <w:pPr>
        <w:pStyle w:val="ListParagraph"/>
        <w:numPr>
          <w:ilvl w:val="1"/>
          <w:numId w:val="11"/>
        </w:numPr>
        <w:bidi/>
        <w:spacing w:after="120"/>
        <w:ind w:left="851" w:hanging="425"/>
        <w:rPr>
          <w:rtl/>
        </w:rPr>
      </w:pPr>
      <w:r>
        <w:rPr>
          <w:rFonts w:hint="cs"/>
          <w:rtl/>
        </w:rPr>
        <w:t>تقديم المساعدة التقنية والمالية؛</w:t>
      </w:r>
      <w:r>
        <w:t xml:space="preserve"> </w:t>
      </w:r>
    </w:p>
    <w:p w14:paraId="5A45C0CA" w14:textId="77777777" w:rsidR="00AF6321" w:rsidRPr="00E63DCC" w:rsidRDefault="00AF6321" w:rsidP="00B907B5">
      <w:pPr>
        <w:pStyle w:val="ListParagraph"/>
        <w:numPr>
          <w:ilvl w:val="1"/>
          <w:numId w:val="11"/>
        </w:numPr>
        <w:bidi/>
        <w:spacing w:after="120"/>
        <w:ind w:left="851" w:hanging="425"/>
        <w:rPr>
          <w:rtl/>
        </w:rPr>
      </w:pPr>
      <w:r>
        <w:rPr>
          <w:rFonts w:hint="cs"/>
          <w:rtl/>
        </w:rPr>
        <w:t>إقامة شراكات للمساعدة في تنفيذ التزاماتها بموجب هذه المادة</w:t>
      </w:r>
    </w:p>
    <w:p w14:paraId="4101E6B7" w14:textId="77777777" w:rsidR="00AF6321" w:rsidRPr="00E63DCC" w:rsidRDefault="00AF6321" w:rsidP="00B907B5">
      <w:pPr>
        <w:pStyle w:val="ListParagraph"/>
        <w:numPr>
          <w:ilvl w:val="1"/>
          <w:numId w:val="11"/>
        </w:numPr>
        <w:bidi/>
        <w:spacing w:after="120"/>
        <w:ind w:left="851" w:hanging="425"/>
        <w:rPr>
          <w:rtl/>
        </w:rPr>
      </w:pPr>
      <w:r>
        <w:rPr>
          <w:rFonts w:hint="cs"/>
          <w:rtl/>
        </w:rPr>
        <w:t>استخدام آليات تبادل المعلومات القائمة لتعزيز المعرفة، وتشجيع أفضل الممارسات البيئية، والتكنولوجيات البديلة الصالحة بيئياً وتقنياً واجتماعياً واقتصادياً.</w:t>
      </w:r>
    </w:p>
    <w:p w14:paraId="00FCD273" w14:textId="77777777" w:rsidR="00AF6321" w:rsidRPr="00E63DCC" w:rsidRDefault="00AF6321" w:rsidP="00A5640C">
      <w:pPr>
        <w:rPr>
          <w:lang w:val="en-GB"/>
        </w:rPr>
      </w:pPr>
    </w:p>
    <w:p w14:paraId="56FAAA79" w14:textId="77777777" w:rsidR="00B907B5" w:rsidRPr="00E63DCC" w:rsidRDefault="00B907B5">
      <w:pPr>
        <w:bidi/>
        <w:spacing w:after="0" w:line="240" w:lineRule="auto"/>
        <w:rPr>
          <w:rFonts w:eastAsia="Times New Roman"/>
          <w:b/>
          <w:bCs/>
          <w:iCs/>
          <w:color w:val="0000FF"/>
          <w:sz w:val="28"/>
          <w:szCs w:val="28"/>
          <w:rtl/>
        </w:rPr>
      </w:pPr>
      <w:bookmarkStart w:id="127" w:name="_Ref482618309"/>
      <w:r>
        <w:rPr>
          <w:rFonts w:hint="cs"/>
          <w:rtl/>
        </w:rPr>
        <w:br w:type="page"/>
      </w:r>
    </w:p>
    <w:p w14:paraId="4A51EE0F" w14:textId="556F355D" w:rsidR="00B02FA3" w:rsidRPr="00E63DCC" w:rsidRDefault="00B02FA3" w:rsidP="00B02FA3">
      <w:pPr>
        <w:pStyle w:val="Heading1"/>
        <w:bidi/>
        <w:rPr>
          <w:rtl/>
        </w:rPr>
      </w:pPr>
      <w:bookmarkStart w:id="128" w:name="_Toc67301082"/>
      <w:bookmarkStart w:id="129" w:name="_Toc71095526"/>
      <w:r>
        <w:rPr>
          <w:rFonts w:hint="cs"/>
          <w:rtl/>
        </w:rPr>
        <w:lastRenderedPageBreak/>
        <w:t xml:space="preserve">الملحق ب. الملحق "ج" من اتفاقية </w:t>
      </w:r>
      <w:proofErr w:type="spellStart"/>
      <w:r>
        <w:rPr>
          <w:rFonts w:hint="cs"/>
          <w:rtl/>
        </w:rPr>
        <w:t>ميناماتا</w:t>
      </w:r>
      <w:proofErr w:type="spellEnd"/>
      <w:r>
        <w:rPr>
          <w:rFonts w:hint="cs"/>
          <w:rtl/>
        </w:rPr>
        <w:t>: خطط العمل الوطنية</w:t>
      </w:r>
      <w:bookmarkEnd w:id="128"/>
      <w:bookmarkEnd w:id="129"/>
    </w:p>
    <w:bookmarkEnd w:id="127"/>
    <w:p w14:paraId="036573FF" w14:textId="77777777" w:rsidR="00AF6321" w:rsidRPr="00E63DCC" w:rsidRDefault="00AF6321" w:rsidP="00C01CC2">
      <w:pPr>
        <w:pStyle w:val="ListParagraph"/>
        <w:numPr>
          <w:ilvl w:val="0"/>
          <w:numId w:val="12"/>
        </w:numPr>
        <w:bidi/>
        <w:spacing w:after="100"/>
        <w:ind w:left="426" w:hanging="426"/>
        <w:rPr>
          <w:rtl/>
        </w:rPr>
      </w:pPr>
      <w:r>
        <w:rPr>
          <w:rFonts w:hint="cs"/>
          <w:rtl/>
        </w:rPr>
        <w:t>يدرج كل طرف يخضع لأحكام الفقرة 3 من المادة 7 في خطة عمله الوطنية ما يلي:</w:t>
      </w:r>
    </w:p>
    <w:p w14:paraId="661FA7AB" w14:textId="77777777" w:rsidR="00AF6321" w:rsidRPr="00E63DCC" w:rsidRDefault="00AF6321" w:rsidP="00C01CC2">
      <w:pPr>
        <w:pStyle w:val="ListParagraph"/>
        <w:numPr>
          <w:ilvl w:val="1"/>
          <w:numId w:val="12"/>
        </w:numPr>
        <w:bidi/>
        <w:spacing w:after="100"/>
        <w:ind w:left="851" w:hanging="425"/>
        <w:rPr>
          <w:rtl/>
        </w:rPr>
      </w:pPr>
      <w:r>
        <w:rPr>
          <w:rFonts w:hint="cs"/>
          <w:rtl/>
        </w:rPr>
        <w:t>أهداف وطنية ونسب تخفيض مستهدفة؛</w:t>
      </w:r>
    </w:p>
    <w:p w14:paraId="67704780" w14:textId="77777777" w:rsidR="00AF6321" w:rsidRPr="00E63DCC" w:rsidRDefault="00AF6321" w:rsidP="00C01CC2">
      <w:pPr>
        <w:pStyle w:val="ListParagraph"/>
        <w:numPr>
          <w:ilvl w:val="1"/>
          <w:numId w:val="12"/>
        </w:numPr>
        <w:bidi/>
        <w:spacing w:after="100"/>
        <w:ind w:left="851" w:hanging="425"/>
        <w:rPr>
          <w:rtl/>
        </w:rPr>
      </w:pPr>
      <w:r>
        <w:rPr>
          <w:rFonts w:hint="cs"/>
          <w:rtl/>
        </w:rPr>
        <w:t>إجراءات للإنهاء:</w:t>
      </w:r>
    </w:p>
    <w:p w14:paraId="5973E76B" w14:textId="77777777" w:rsidR="00AF6321" w:rsidRPr="00E63DCC" w:rsidRDefault="00AF6321" w:rsidP="00C01CC2">
      <w:pPr>
        <w:pStyle w:val="ListParagraph"/>
        <w:numPr>
          <w:ilvl w:val="1"/>
          <w:numId w:val="6"/>
        </w:numPr>
        <w:bidi/>
        <w:spacing w:after="100"/>
        <w:rPr>
          <w:rtl/>
        </w:rPr>
      </w:pPr>
      <w:r>
        <w:rPr>
          <w:rFonts w:hint="cs"/>
          <w:rtl/>
        </w:rPr>
        <w:t>ملغمة الركاز الكاملة؛</w:t>
      </w:r>
    </w:p>
    <w:p w14:paraId="4E81DF9E" w14:textId="77777777" w:rsidR="00AF6321" w:rsidRPr="00E63DCC" w:rsidRDefault="00AF6321" w:rsidP="00C01CC2">
      <w:pPr>
        <w:pStyle w:val="ListParagraph"/>
        <w:numPr>
          <w:ilvl w:val="1"/>
          <w:numId w:val="6"/>
        </w:numPr>
        <w:bidi/>
        <w:spacing w:after="100"/>
        <w:rPr>
          <w:rtl/>
        </w:rPr>
      </w:pPr>
      <w:r>
        <w:rPr>
          <w:rFonts w:hint="cs"/>
          <w:rtl/>
        </w:rPr>
        <w:t>الحرق المكشوف للملغم أو للملغم المعالج؛</w:t>
      </w:r>
    </w:p>
    <w:p w14:paraId="676C91E1" w14:textId="77777777" w:rsidR="00AF6321" w:rsidRPr="00E63DCC" w:rsidRDefault="00AF6321" w:rsidP="00C01CC2">
      <w:pPr>
        <w:pStyle w:val="ListParagraph"/>
        <w:numPr>
          <w:ilvl w:val="1"/>
          <w:numId w:val="6"/>
        </w:numPr>
        <w:bidi/>
        <w:spacing w:after="100"/>
        <w:rPr>
          <w:rtl/>
        </w:rPr>
      </w:pPr>
      <w:r>
        <w:rPr>
          <w:rFonts w:hint="cs"/>
          <w:rtl/>
        </w:rPr>
        <w:t>حرق الملغم في مناطق سكنية</w:t>
      </w:r>
      <w:r>
        <w:t xml:space="preserve"> </w:t>
      </w:r>
    </w:p>
    <w:p w14:paraId="4B254AA4" w14:textId="77777777" w:rsidR="00AF6321" w:rsidRPr="00E63DCC" w:rsidRDefault="00AF6321" w:rsidP="00C01CC2">
      <w:pPr>
        <w:pStyle w:val="ListParagraph"/>
        <w:numPr>
          <w:ilvl w:val="1"/>
          <w:numId w:val="6"/>
        </w:numPr>
        <w:bidi/>
        <w:spacing w:after="100"/>
        <w:rPr>
          <w:rtl/>
        </w:rPr>
      </w:pPr>
      <w:r>
        <w:rPr>
          <w:rFonts w:hint="cs"/>
          <w:rtl/>
        </w:rPr>
        <w:t>ورشح السيانيد في الرواسب أو الركاز أو النفايات التي أضيف لها الزئبق دون إزالة الزئبق أولاً؛</w:t>
      </w:r>
    </w:p>
    <w:p w14:paraId="70AD509D" w14:textId="77777777" w:rsidR="00AF6321" w:rsidRPr="00E63DCC" w:rsidRDefault="00AF6321" w:rsidP="00C01CC2">
      <w:pPr>
        <w:pStyle w:val="ListParagraph"/>
        <w:numPr>
          <w:ilvl w:val="1"/>
          <w:numId w:val="12"/>
        </w:numPr>
        <w:bidi/>
        <w:spacing w:after="100"/>
        <w:ind w:left="851" w:hanging="425"/>
        <w:rPr>
          <w:rtl/>
        </w:rPr>
      </w:pPr>
      <w:r>
        <w:rPr>
          <w:rFonts w:hint="cs"/>
          <w:rtl/>
        </w:rPr>
        <w:t>خطوات تيّسر إضفاء طابع رسمي على قطاع تعدين الذهب الحرفي والضيق النطاق أو تنظيمه؛</w:t>
      </w:r>
    </w:p>
    <w:p w14:paraId="43FA8B79" w14:textId="619075D0" w:rsidR="00AF6321" w:rsidRPr="00E63DCC" w:rsidRDefault="00AF6321" w:rsidP="00C01CC2">
      <w:pPr>
        <w:pStyle w:val="ListParagraph"/>
        <w:numPr>
          <w:ilvl w:val="1"/>
          <w:numId w:val="12"/>
        </w:numPr>
        <w:bidi/>
        <w:spacing w:after="100"/>
        <w:ind w:left="851" w:hanging="425"/>
        <w:rPr>
          <w:rtl/>
        </w:rPr>
      </w:pPr>
      <w:r>
        <w:rPr>
          <w:rFonts w:hint="cs"/>
          <w:rtl/>
        </w:rPr>
        <w:t>تقديرات أساسية لكميات الزئبق المستخدمة وللممارسات المستخدمة في تعدين وتصنيع الذهب الحرفيين وضيقي النطاق على أراضيه؛</w:t>
      </w:r>
      <w:r>
        <w:t xml:space="preserve"> </w:t>
      </w:r>
    </w:p>
    <w:p w14:paraId="7DC58548" w14:textId="7E0486C6" w:rsidR="00AF6321" w:rsidRPr="00E63DCC" w:rsidRDefault="00AF6321" w:rsidP="00C01CC2">
      <w:pPr>
        <w:pStyle w:val="ListParagraph"/>
        <w:numPr>
          <w:ilvl w:val="1"/>
          <w:numId w:val="12"/>
        </w:numPr>
        <w:bidi/>
        <w:spacing w:after="100"/>
        <w:ind w:left="851" w:hanging="425"/>
        <w:rPr>
          <w:rtl/>
        </w:rPr>
      </w:pPr>
      <w:r>
        <w:rPr>
          <w:rFonts w:hint="cs"/>
          <w:rtl/>
        </w:rPr>
        <w:t>استراتيجيات لتشجيع الحد من انبعاثات وإطلاقات الزئبق، والتعرض له، في تعدين وتصنيع الذهب الحرفيين وضيقي النطاق، بما في ذلك الطرائق التي لا تستخدم الزئبق؛</w:t>
      </w:r>
    </w:p>
    <w:p w14:paraId="1D9723AE" w14:textId="0EB34E72" w:rsidR="00AF6321" w:rsidRPr="00E63DCC" w:rsidRDefault="00AF6321" w:rsidP="00C01CC2">
      <w:pPr>
        <w:pStyle w:val="ListParagraph"/>
        <w:numPr>
          <w:ilvl w:val="1"/>
          <w:numId w:val="12"/>
        </w:numPr>
        <w:bidi/>
        <w:spacing w:after="100"/>
        <w:ind w:left="851" w:hanging="425"/>
        <w:rPr>
          <w:rtl/>
        </w:rPr>
      </w:pPr>
      <w:r>
        <w:rPr>
          <w:rFonts w:hint="cs"/>
          <w:rtl/>
        </w:rPr>
        <w:t>استراتيجيات لإدارة التجارة ومنع تحويل وجهة الزئبق ومركبات الزئبق القادمة من مصادر خارجية ومحلية لاستخدامها في تعدين وتصنيع الذهب الحرفيين وضيقي النطاق؛</w:t>
      </w:r>
      <w:r>
        <w:t xml:space="preserve"> </w:t>
      </w:r>
    </w:p>
    <w:p w14:paraId="4A407BE3" w14:textId="77777777" w:rsidR="001A77D4" w:rsidRPr="00E63DCC" w:rsidRDefault="00AF6321" w:rsidP="00C01CC2">
      <w:pPr>
        <w:pStyle w:val="ListParagraph"/>
        <w:numPr>
          <w:ilvl w:val="1"/>
          <w:numId w:val="12"/>
        </w:numPr>
        <w:bidi/>
        <w:spacing w:after="100"/>
        <w:ind w:left="851" w:hanging="425"/>
        <w:rPr>
          <w:rtl/>
        </w:rPr>
      </w:pPr>
      <w:r>
        <w:rPr>
          <w:rFonts w:hint="cs"/>
          <w:rtl/>
        </w:rPr>
        <w:t>استراتيجيات لإشراك أصحاب المصلحة في تنفيذ خطة العمل الوطنية ومواصلة تطويرها؛</w:t>
      </w:r>
    </w:p>
    <w:p w14:paraId="26DD9DB7" w14:textId="77777777" w:rsidR="001A77D4" w:rsidRPr="00E63DCC" w:rsidRDefault="00AF6321" w:rsidP="00C01CC2">
      <w:pPr>
        <w:pStyle w:val="ListParagraph"/>
        <w:numPr>
          <w:ilvl w:val="1"/>
          <w:numId w:val="12"/>
        </w:numPr>
        <w:bidi/>
        <w:spacing w:after="100"/>
        <w:ind w:left="851" w:hanging="425"/>
        <w:rPr>
          <w:rtl/>
        </w:rPr>
      </w:pPr>
      <w:r>
        <w:rPr>
          <w:rFonts w:hint="cs"/>
          <w:rtl/>
        </w:rPr>
        <w:t>استراتيجية للصحة العامة بشأن تعرض الحرفيين والمشتغلين بتعدين الذهب الحرفي والضيق النطاق ومجتمعاتهم المحلية للزئبق.</w:t>
      </w:r>
      <w:r>
        <w:t xml:space="preserve"> </w:t>
      </w:r>
      <w:r>
        <w:rPr>
          <w:rFonts w:hint="cs"/>
          <w:rtl/>
        </w:rPr>
        <w:t>وينبغي أن تتضمن هذه الاستراتيجية جملة أمور، من بينها جمع البيانات الصحية، وتدريب المشتغلين بالرعاية الصحية، والتوعية من خلال المنشآت الصحية؛</w:t>
      </w:r>
    </w:p>
    <w:p w14:paraId="1EF83EB0" w14:textId="77777777" w:rsidR="00AF6321" w:rsidRPr="00E63DCC" w:rsidRDefault="00AF6321" w:rsidP="00C01CC2">
      <w:pPr>
        <w:pStyle w:val="ListParagraph"/>
        <w:numPr>
          <w:ilvl w:val="1"/>
          <w:numId w:val="12"/>
        </w:numPr>
        <w:bidi/>
        <w:spacing w:after="100"/>
        <w:ind w:left="851" w:hanging="425"/>
        <w:rPr>
          <w:rtl/>
        </w:rPr>
      </w:pPr>
      <w:r>
        <w:rPr>
          <w:rFonts w:hint="cs"/>
          <w:rtl/>
        </w:rPr>
        <w:t>استراتيجيات لمنع تعرض الفئات السكانية الضعيفة للزئبق المستخدم في تعدين الذهب الحرفي والضيق النطاق، لا سيما الأطفال والنساء في سن الإنجاب، وبخاصة النساء الحوامل؛</w:t>
      </w:r>
    </w:p>
    <w:p w14:paraId="3489AB2C" w14:textId="77777777" w:rsidR="00AF6321" w:rsidRPr="00E63DCC" w:rsidRDefault="00AF6321" w:rsidP="00C01CC2">
      <w:pPr>
        <w:pStyle w:val="ListParagraph"/>
        <w:numPr>
          <w:ilvl w:val="1"/>
          <w:numId w:val="12"/>
        </w:numPr>
        <w:bidi/>
        <w:spacing w:after="100"/>
        <w:ind w:left="851" w:hanging="425"/>
        <w:rPr>
          <w:rtl/>
        </w:rPr>
      </w:pPr>
      <w:r>
        <w:rPr>
          <w:rFonts w:hint="cs"/>
          <w:rtl/>
        </w:rPr>
        <w:t>استراتيجيات لتوفير المعلومات للحرفيين والمشتغلين بتعدين الذهب الحرفي والضيق النطاق والمجتمعات المحلية المتضررة</w:t>
      </w:r>
    </w:p>
    <w:p w14:paraId="20788A88" w14:textId="77777777" w:rsidR="00AF6321" w:rsidRPr="00E63DCC" w:rsidRDefault="00AF6321" w:rsidP="00C01CC2">
      <w:pPr>
        <w:pStyle w:val="ListParagraph"/>
        <w:numPr>
          <w:ilvl w:val="1"/>
          <w:numId w:val="12"/>
        </w:numPr>
        <w:bidi/>
        <w:spacing w:after="100"/>
        <w:ind w:left="851" w:hanging="425"/>
        <w:rPr>
          <w:rtl/>
        </w:rPr>
      </w:pPr>
      <w:r>
        <w:rPr>
          <w:rFonts w:hint="cs"/>
          <w:rtl/>
        </w:rPr>
        <w:t>جدول زمني لتنفيذ خطة العمل الوطنية.</w:t>
      </w:r>
    </w:p>
    <w:p w14:paraId="54BC4ABA" w14:textId="77777777" w:rsidR="00AF6321" w:rsidRPr="00E63DCC" w:rsidRDefault="00AF6321" w:rsidP="00C01CC2">
      <w:pPr>
        <w:pStyle w:val="ListParagraph"/>
        <w:numPr>
          <w:ilvl w:val="0"/>
          <w:numId w:val="12"/>
        </w:numPr>
        <w:bidi/>
        <w:spacing w:after="100"/>
        <w:ind w:left="426" w:hanging="426"/>
        <w:rPr>
          <w:rtl/>
        </w:rPr>
      </w:pPr>
      <w:r>
        <w:rPr>
          <w:rFonts w:hint="cs"/>
          <w:rtl/>
        </w:rPr>
        <w:t>يجوز لكل طرف أن يدرج في خطة عمله الوطنية استراتيجيات إضافية لتحقيق أهدافه، منها استخدام أو تطبيق معايير لتعدين الذهب الحرفي والضيق النطاق دون استخدام الزئبق، وآليات قائمة على الأسواق، أو أدوات للتسويق.</w:t>
      </w:r>
    </w:p>
    <w:p w14:paraId="568B96B0" w14:textId="77777777" w:rsidR="00AF6321" w:rsidRPr="00E63DCC" w:rsidRDefault="00AF6321" w:rsidP="00A5640C">
      <w:pPr>
        <w:rPr>
          <w:lang w:val="en-GB"/>
        </w:rPr>
      </w:pPr>
    </w:p>
    <w:p w14:paraId="498259E1" w14:textId="18D20BD3" w:rsidR="005B0F6C" w:rsidRPr="00E63DCC" w:rsidRDefault="002F4516" w:rsidP="00E67AAE">
      <w:pPr>
        <w:pStyle w:val="Heading1"/>
        <w:bidi/>
        <w:rPr>
          <w:rtl/>
        </w:rPr>
      </w:pPr>
      <w:bookmarkStart w:id="130" w:name="_Toc67301083"/>
      <w:bookmarkStart w:id="131" w:name="_Toc71095527"/>
      <w:bookmarkStart w:id="132" w:name="_Ref484861405"/>
      <w:bookmarkStart w:id="133" w:name="_Ref482620345"/>
      <w:r>
        <w:rPr>
          <w:rFonts w:hint="cs"/>
          <w:rtl/>
        </w:rPr>
        <w:t>الملحق ج. دليل الملحقات</w:t>
      </w:r>
      <w:bookmarkEnd w:id="130"/>
      <w:bookmarkEnd w:id="131"/>
    </w:p>
    <w:p w14:paraId="7E54D113" w14:textId="77777777" w:rsidR="00AF5A44" w:rsidRPr="00E63DCC" w:rsidRDefault="005B0F6C" w:rsidP="00922AFD">
      <w:pPr>
        <w:bidi/>
        <w:rPr>
          <w:rtl/>
        </w:rPr>
      </w:pPr>
      <w:r>
        <w:rPr>
          <w:rFonts w:hint="cs"/>
          <w:rtl/>
        </w:rPr>
        <w:t xml:space="preserve">يقدم هذا الملحق سردًا لملحقات </w:t>
      </w:r>
      <w:r>
        <w:rPr>
          <w:rFonts w:hint="cs"/>
          <w:i/>
          <w:iCs/>
          <w:rtl/>
        </w:rPr>
        <w:t xml:space="preserve">الدليل التفصيلي لوضع استراتيجية للصحة العامة بشأن تعدين الذهب الحرفي وضيق النطاق في سياق اتفاقية </w:t>
      </w:r>
      <w:proofErr w:type="spellStart"/>
      <w:r>
        <w:rPr>
          <w:rFonts w:hint="cs"/>
          <w:i/>
          <w:iCs/>
          <w:rtl/>
        </w:rPr>
        <w:t>ميناماتا</w:t>
      </w:r>
      <w:proofErr w:type="spellEnd"/>
      <w:r>
        <w:rPr>
          <w:rFonts w:hint="cs"/>
          <w:i/>
          <w:iCs/>
          <w:rtl/>
        </w:rPr>
        <w:t xml:space="preserve"> بشأن الزئبق</w:t>
      </w:r>
      <w:r>
        <w:rPr>
          <w:rFonts w:hint="cs"/>
          <w:rtl/>
        </w:rPr>
        <w:t>.</w:t>
      </w:r>
      <w:r>
        <w:t xml:space="preserve"> </w:t>
      </w:r>
      <w:r>
        <w:rPr>
          <w:rFonts w:hint="cs"/>
          <w:rtl/>
        </w:rPr>
        <w:t>تقدم هذه الملاحق نماذج للوثائق المتعددة التي ستدعم الدراسة البحثية الحالية لتقييم تحديات الصحة العامة في مجتمعات تعدين الذهب الحرفي والضيق النطاق واستعداد النظام الصحي المحلي للاستجابة في بلدك.</w:t>
      </w:r>
    </w:p>
    <w:p w14:paraId="1C0936C5" w14:textId="1AE99A8F" w:rsidR="00922AFD" w:rsidRPr="00E63DCC" w:rsidRDefault="00AF5A44" w:rsidP="00922AFD">
      <w:pPr>
        <w:bidi/>
        <w:rPr>
          <w:rFonts w:eastAsia="Times New Roman"/>
          <w:b/>
          <w:rtl/>
        </w:rPr>
      </w:pPr>
      <w:r>
        <w:rPr>
          <w:rFonts w:hint="cs"/>
          <w:rtl/>
        </w:rPr>
        <w:t>يُرجى ملاحظة أنه سيتم إرفاق الإصدارات النهائية فقط من هذه الملاحق بدراستك البحثية المكتملة.</w:t>
      </w:r>
      <w:r>
        <w:t xml:space="preserve"> </w:t>
      </w:r>
      <w:r>
        <w:rPr>
          <w:rFonts w:hint="cs"/>
          <w:rtl/>
        </w:rPr>
        <w:t>سيتم تكييف اختيار الملاحق وترقيمها وتعديلها وفقًا لمتطلبات الدراسة.</w:t>
      </w:r>
    </w:p>
    <w:p w14:paraId="2ABE1B26" w14:textId="77777777" w:rsidR="009F4689" w:rsidRPr="00E63DCC" w:rsidRDefault="009F4689" w:rsidP="009F4689">
      <w:pPr>
        <w:bidi/>
        <w:rPr>
          <w:rtl/>
        </w:rPr>
      </w:pPr>
      <w:r>
        <w:rPr>
          <w:rFonts w:hint="cs"/>
          <w:rtl/>
        </w:rPr>
        <w:t>الملحق 1.</w:t>
      </w:r>
      <w:r>
        <w:t xml:space="preserve"> </w:t>
      </w:r>
      <w:r>
        <w:rPr>
          <w:rFonts w:hint="cs"/>
          <w:rtl/>
        </w:rPr>
        <w:t>تقييم القدرات المؤسسية: الإطار المنهجي</w:t>
      </w:r>
    </w:p>
    <w:p w14:paraId="5A244F7A" w14:textId="77777777" w:rsidR="009F4689" w:rsidRPr="00E63DCC" w:rsidRDefault="009F4689" w:rsidP="009F4689">
      <w:pPr>
        <w:bidi/>
        <w:rPr>
          <w:rtl/>
        </w:rPr>
      </w:pPr>
      <w:r>
        <w:rPr>
          <w:rFonts w:hint="cs"/>
          <w:rtl/>
        </w:rPr>
        <w:t>الملحق 2.</w:t>
      </w:r>
      <w:r>
        <w:t xml:space="preserve"> </w:t>
      </w:r>
      <w:r>
        <w:rPr>
          <w:rFonts w:hint="cs"/>
          <w:rtl/>
        </w:rPr>
        <w:t>تقييم القدرات المؤسسية: استبيانات المقابلات الشخصية مع المبلغين الرئيسيين</w:t>
      </w:r>
    </w:p>
    <w:p w14:paraId="3E09F0E2" w14:textId="77777777" w:rsidR="009F4689" w:rsidRPr="00E63DCC" w:rsidRDefault="009F4689" w:rsidP="009F4689">
      <w:pPr>
        <w:bidi/>
        <w:rPr>
          <w:rtl/>
        </w:rPr>
      </w:pPr>
      <w:r>
        <w:rPr>
          <w:rFonts w:hint="cs"/>
          <w:rtl/>
        </w:rPr>
        <w:t>الملحق 3.</w:t>
      </w:r>
      <w:r>
        <w:t xml:space="preserve"> </w:t>
      </w:r>
      <w:r>
        <w:rPr>
          <w:rFonts w:hint="cs"/>
          <w:rtl/>
        </w:rPr>
        <w:t>التقييم الصحي السريع: بروتوكول الدراسة</w:t>
      </w:r>
      <w:r>
        <w:t xml:space="preserve"> </w:t>
      </w:r>
    </w:p>
    <w:p w14:paraId="1E6AE7B8" w14:textId="77777777" w:rsidR="009F4689" w:rsidRPr="00E63DCC" w:rsidRDefault="009F4689" w:rsidP="009F4689">
      <w:pPr>
        <w:bidi/>
        <w:rPr>
          <w:rtl/>
        </w:rPr>
      </w:pPr>
      <w:r>
        <w:rPr>
          <w:rFonts w:hint="cs"/>
          <w:rtl/>
        </w:rPr>
        <w:lastRenderedPageBreak/>
        <w:t>الملحق 4.</w:t>
      </w:r>
      <w:r>
        <w:t xml:space="preserve"> </w:t>
      </w:r>
      <w:r>
        <w:rPr>
          <w:rFonts w:hint="cs"/>
          <w:rtl/>
        </w:rPr>
        <w:t>التقييم الصحي السريع: الموافقة المستنيرة من المبلغ الرئيسي</w:t>
      </w:r>
      <w:r>
        <w:t xml:space="preserve"> </w:t>
      </w:r>
    </w:p>
    <w:p w14:paraId="06483A9D" w14:textId="77777777" w:rsidR="009F4689" w:rsidRPr="00E63DCC" w:rsidRDefault="009F4689" w:rsidP="009F4689">
      <w:pPr>
        <w:bidi/>
        <w:rPr>
          <w:rtl/>
        </w:rPr>
      </w:pPr>
      <w:r>
        <w:rPr>
          <w:rFonts w:hint="cs"/>
          <w:rtl/>
        </w:rPr>
        <w:t>الملحق 5.</w:t>
      </w:r>
      <w:r>
        <w:t xml:space="preserve"> </w:t>
      </w:r>
      <w:r>
        <w:rPr>
          <w:rFonts w:hint="cs"/>
          <w:rtl/>
        </w:rPr>
        <w:t>التقييم الصحي السريع: الموافقة المستنيرة من المشارك في مناقشة مجموعة التركيز</w:t>
      </w:r>
    </w:p>
    <w:p w14:paraId="1BFD586D" w14:textId="77777777" w:rsidR="009F4689" w:rsidRPr="00E63DCC" w:rsidRDefault="009F4689" w:rsidP="009F4689">
      <w:pPr>
        <w:bidi/>
        <w:rPr>
          <w:rtl/>
        </w:rPr>
      </w:pPr>
      <w:r>
        <w:rPr>
          <w:rFonts w:hint="cs"/>
          <w:rtl/>
        </w:rPr>
        <w:t>الملحق 6.</w:t>
      </w:r>
      <w:r>
        <w:t xml:space="preserve"> </w:t>
      </w:r>
      <w:r>
        <w:rPr>
          <w:rFonts w:hint="cs"/>
          <w:rtl/>
        </w:rPr>
        <w:t>التقييم الصحي السريع: استبيانات المقابلات الشخصية مع المبلغين الرئيسيين</w:t>
      </w:r>
      <w:r>
        <w:t xml:space="preserve"> </w:t>
      </w:r>
    </w:p>
    <w:p w14:paraId="61361AB2" w14:textId="77777777" w:rsidR="009F4689" w:rsidRPr="00E63DCC" w:rsidRDefault="009F4689" w:rsidP="009F4689">
      <w:pPr>
        <w:bidi/>
        <w:rPr>
          <w:rtl/>
        </w:rPr>
      </w:pPr>
      <w:r>
        <w:rPr>
          <w:rFonts w:hint="cs"/>
          <w:rtl/>
        </w:rPr>
        <w:t>الملحق 7.</w:t>
      </w:r>
      <w:r>
        <w:t xml:space="preserve"> </w:t>
      </w:r>
      <w:r>
        <w:rPr>
          <w:rFonts w:hint="cs"/>
          <w:rtl/>
        </w:rPr>
        <w:t>التقييم الصحي السريع: استبيانات مناقشات مجموعات التركيز</w:t>
      </w:r>
    </w:p>
    <w:p w14:paraId="73AB1B58" w14:textId="77777777" w:rsidR="009F4689" w:rsidRPr="00E63DCC" w:rsidRDefault="009F4689" w:rsidP="009F4689">
      <w:pPr>
        <w:bidi/>
        <w:rPr>
          <w:rtl/>
        </w:rPr>
      </w:pPr>
      <w:r>
        <w:rPr>
          <w:rFonts w:hint="cs"/>
          <w:rtl/>
        </w:rPr>
        <w:t>الملحق 8.</w:t>
      </w:r>
      <w:r>
        <w:t xml:space="preserve"> </w:t>
      </w:r>
      <w:r>
        <w:rPr>
          <w:rFonts w:hint="cs"/>
          <w:rtl/>
        </w:rPr>
        <w:t>التقييم الصحي السريع: خطة التعبئة الاجتماعية</w:t>
      </w:r>
      <w:r>
        <w:t xml:space="preserve"> </w:t>
      </w:r>
    </w:p>
    <w:p w14:paraId="0644E267" w14:textId="77777777" w:rsidR="009F4689" w:rsidRPr="00E63DCC" w:rsidRDefault="009F4689" w:rsidP="009F4689">
      <w:pPr>
        <w:bidi/>
        <w:rPr>
          <w:rtl/>
        </w:rPr>
      </w:pPr>
      <w:r>
        <w:rPr>
          <w:rFonts w:hint="cs"/>
          <w:rtl/>
        </w:rPr>
        <w:t>الملحق 9.</w:t>
      </w:r>
      <w:r>
        <w:t xml:space="preserve"> </w:t>
      </w:r>
      <w:r>
        <w:rPr>
          <w:rFonts w:hint="cs"/>
          <w:rtl/>
        </w:rPr>
        <w:t>تقييم المنشأة الصحية: الاستبيان والأداة</w:t>
      </w:r>
    </w:p>
    <w:p w14:paraId="1BAE3E65" w14:textId="77777777" w:rsidR="009F4689" w:rsidRPr="00E63DCC" w:rsidRDefault="009F4689" w:rsidP="009F4689">
      <w:pPr>
        <w:bidi/>
        <w:rPr>
          <w:rtl/>
        </w:rPr>
      </w:pPr>
      <w:r>
        <w:rPr>
          <w:rFonts w:hint="cs"/>
          <w:rtl/>
        </w:rPr>
        <w:t>الملحق 10.</w:t>
      </w:r>
      <w:r>
        <w:t xml:space="preserve"> </w:t>
      </w:r>
      <w:r>
        <w:rPr>
          <w:rFonts w:hint="cs"/>
          <w:rtl/>
        </w:rPr>
        <w:t>التقييم الصحي السريع:</w:t>
      </w:r>
      <w:r>
        <w:t xml:space="preserve"> </w:t>
      </w:r>
      <w:r>
        <w:rPr>
          <w:rFonts w:hint="cs"/>
          <w:rtl/>
        </w:rPr>
        <w:t>أداة التعريف لموقع تعدين الذهب الحرفي والضيق النطاق</w:t>
      </w:r>
    </w:p>
    <w:p w14:paraId="069C6C48" w14:textId="77777777" w:rsidR="009F4689" w:rsidRPr="00E63DCC" w:rsidRDefault="009F4689" w:rsidP="009F4689">
      <w:pPr>
        <w:bidi/>
        <w:rPr>
          <w:rtl/>
        </w:rPr>
      </w:pPr>
      <w:r>
        <w:rPr>
          <w:rFonts w:hint="cs"/>
          <w:rtl/>
        </w:rPr>
        <w:t>الملحق 11.</w:t>
      </w:r>
      <w:r>
        <w:t xml:space="preserve"> </w:t>
      </w:r>
      <w:r>
        <w:rPr>
          <w:rFonts w:hint="cs"/>
          <w:rtl/>
        </w:rPr>
        <w:t>نموذج جدول أعمال ورشة العمل الوطنية لأصحاب مصلحة متعددين لمدة يومين</w:t>
      </w:r>
      <w:r>
        <w:t xml:space="preserve"> </w:t>
      </w:r>
    </w:p>
    <w:p w14:paraId="39F2B37D" w14:textId="77777777" w:rsidR="009F4689" w:rsidRPr="00E63DCC" w:rsidRDefault="009F4689" w:rsidP="009F4689">
      <w:pPr>
        <w:bidi/>
        <w:rPr>
          <w:rtl/>
        </w:rPr>
      </w:pPr>
      <w:r>
        <w:rPr>
          <w:rFonts w:hint="cs"/>
          <w:rtl/>
        </w:rPr>
        <w:t>الملحق 12.</w:t>
      </w:r>
      <w:r>
        <w:t xml:space="preserve"> </w:t>
      </w:r>
      <w:r>
        <w:rPr>
          <w:rFonts w:hint="cs"/>
          <w:rtl/>
        </w:rPr>
        <w:t>نموذج عينة لأولويات استراتيجية الصحة العامة</w:t>
      </w:r>
    </w:p>
    <w:p w14:paraId="0241F6DF" w14:textId="4F156524" w:rsidR="0094463D" w:rsidRPr="00E63DCC" w:rsidRDefault="004A4B38" w:rsidP="004B07F7">
      <w:pPr>
        <w:bidi/>
        <w:rPr>
          <w:rtl/>
        </w:rPr>
      </w:pPr>
      <w:r>
        <w:rPr>
          <w:rFonts w:hint="cs"/>
          <w:rtl/>
        </w:rPr>
        <w:t>الملحق 13.</w:t>
      </w:r>
      <w:r>
        <w:t xml:space="preserve"> </w:t>
      </w:r>
      <w:r>
        <w:rPr>
          <w:rFonts w:hint="cs"/>
          <w:rtl/>
        </w:rPr>
        <w:t>استمارة الموافقة المستنيرة: صور فوتوغرافية</w:t>
      </w:r>
      <w:bookmarkEnd w:id="126"/>
      <w:bookmarkEnd w:id="132"/>
      <w:bookmarkEnd w:id="133"/>
    </w:p>
    <w:sectPr w:rsidR="0094463D" w:rsidRPr="00E63DCC" w:rsidSect="00091C41">
      <w:headerReference w:type="default" r:id="rId1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72A9" w14:textId="77777777" w:rsidR="005E280F" w:rsidRDefault="005E280F" w:rsidP="00186627">
      <w:r>
        <w:separator/>
      </w:r>
    </w:p>
  </w:endnote>
  <w:endnote w:type="continuationSeparator" w:id="0">
    <w:p w14:paraId="428DA638" w14:textId="77777777" w:rsidR="005E280F" w:rsidRDefault="005E280F"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4E"/>
    <w:family w:val="auto"/>
    <w:pitch w:val="variable"/>
    <w:sig w:usb0="E00002FF" w:usb1="7AC7FFFF" w:usb2="00000012" w:usb3="00000000" w:csb0="0002000D" w:csb1="00000000"/>
  </w:font>
  <w:font w:name="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11E8" w14:textId="6D13F1B8" w:rsidR="00BA34B7" w:rsidRDefault="00BA34B7" w:rsidP="0094463D">
    <w:pPr>
      <w:framePr w:wrap="around"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Pr>
        <w:noProof/>
        <w:rtl/>
      </w:rPr>
      <w:t>34</w:t>
    </w:r>
    <w:r>
      <w:rPr>
        <w:rStyle w:val="PageNumber"/>
        <w:rFonts w:hint="cs"/>
        <w:rtl/>
      </w:rPr>
      <w:fldChar w:fldCharType="end"/>
    </w:r>
  </w:p>
  <w:p w14:paraId="0916818F" w14:textId="77777777" w:rsidR="00BA34B7" w:rsidRDefault="00BA34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9C9F" w14:textId="23B5BC0E" w:rsidR="00BA34B7" w:rsidRPr="00091C41" w:rsidRDefault="00BA34B7" w:rsidP="0094463D">
    <w:pPr>
      <w:framePr w:wrap="around" w:vAnchor="text" w:hAnchor="margin" w:xAlign="center" w:y="1"/>
      <w:bidi/>
      <w:spacing w:after="0"/>
      <w:rPr>
        <w:rStyle w:val="PageNumber"/>
        <w:rtl/>
      </w:rPr>
    </w:pPr>
    <w:r w:rsidRPr="00091C41">
      <w:rPr>
        <w:rStyle w:val="PageNumber"/>
        <w:rFonts w:hint="cs"/>
        <w:rtl/>
      </w:rPr>
      <w:fldChar w:fldCharType="begin"/>
    </w:r>
    <w:r>
      <w:rPr>
        <w:rtl/>
      </w:rPr>
      <w:instrText xml:space="preserve"> </w:instrText>
    </w:r>
    <w:r w:rsidRPr="00091C41">
      <w:rPr>
        <w:rStyle w:val="PageNumber"/>
        <w:rFonts w:hint="cs"/>
      </w:rPr>
      <w:instrText xml:space="preserve">PAGE  </w:instrText>
    </w:r>
    <w:r w:rsidRPr="00091C41">
      <w:rPr>
        <w:rStyle w:val="PageNumber"/>
        <w:rFonts w:hint="cs"/>
        <w:rtl/>
      </w:rPr>
      <w:fldChar w:fldCharType="separate"/>
    </w:r>
    <w:r w:rsidR="00CC1B8A">
      <w:rPr>
        <w:rStyle w:val="PageNumber"/>
        <w:noProof/>
      </w:rPr>
      <w:t>33</w:t>
    </w:r>
    <w:r w:rsidRPr="00091C41">
      <w:rPr>
        <w:rStyle w:val="PageNumber"/>
        <w:rFonts w:hint="cs"/>
        <w:rtl/>
      </w:rPr>
      <w:fldChar w:fldCharType="end"/>
    </w:r>
  </w:p>
  <w:p w14:paraId="1102116C" w14:textId="4F15F657" w:rsidR="00BA34B7" w:rsidRDefault="00BA34B7" w:rsidP="00A5640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16CAA" w14:textId="77777777" w:rsidR="005E280F" w:rsidRDefault="005E280F" w:rsidP="00186627">
      <w:r>
        <w:separator/>
      </w:r>
    </w:p>
  </w:footnote>
  <w:footnote w:type="continuationSeparator" w:id="0">
    <w:p w14:paraId="13B44337" w14:textId="77777777" w:rsidR="005E280F" w:rsidRDefault="005E280F" w:rsidP="00186627">
      <w:r>
        <w:continuationSeparator/>
      </w:r>
    </w:p>
  </w:footnote>
  <w:footnote w:id="1">
    <w:p w14:paraId="1DD04AE5" w14:textId="77777777" w:rsidR="00BA34B7" w:rsidRDefault="00BA34B7" w:rsidP="005F6542">
      <w:pPr>
        <w:pStyle w:val="FootnoteText"/>
        <w:bidi/>
        <w:rPr>
          <w:rtl/>
        </w:rPr>
      </w:pPr>
      <w:r>
        <w:rPr>
          <w:rStyle w:val="FootnoteReference"/>
        </w:rPr>
        <w:footnoteRef/>
      </w:r>
      <w:r>
        <w:rPr>
          <w:rFonts w:hint="cs"/>
          <w:rtl/>
        </w:rPr>
        <w:t xml:space="preserve"> مرفقات الدليل التدريجي </w:t>
      </w:r>
      <w:r>
        <w:rPr>
          <w:rFonts w:hint="cs"/>
          <w:i/>
          <w:iCs/>
          <w:rtl/>
        </w:rPr>
        <w:t>(8)</w:t>
      </w:r>
      <w:r>
        <w:rPr>
          <w:rFonts w:hint="cs"/>
          <w:rtl/>
        </w:rPr>
        <w:t xml:space="preserve"> مدرجة في الملحق ج لهذه الوثيقة.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6187" w14:textId="76815B13" w:rsidR="00BA34B7" w:rsidRPr="008874D2" w:rsidRDefault="00BA34B7" w:rsidP="00A44FCA">
    <w:pPr>
      <w:tabs>
        <w:tab w:val="left" w:pos="8080"/>
        <w:tab w:val="right" w:pos="9029"/>
      </w:tabs>
      <w:jc w:val="center"/>
      <w:rPr>
        <w:b/>
        <w:bCs/>
        <w:sz w:val="22"/>
        <w:szCs w:val="32"/>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5F7C" w14:textId="18601E47" w:rsidR="00BA34B7" w:rsidRPr="001C036D" w:rsidRDefault="00BA34B7" w:rsidP="001C036D">
    <w:pPr>
      <w:tabs>
        <w:tab w:val="left" w:pos="8080"/>
        <w:tab w:val="right" w:pos="9029"/>
      </w:tabs>
      <w:jc w:val="center"/>
      <w:rPr>
        <w:b/>
        <w:bCs/>
        <w:sz w:val="22"/>
        <w:szCs w:val="32"/>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57B7" w14:textId="163604DA" w:rsidR="00BA34B7" w:rsidRPr="00B10B25" w:rsidRDefault="00BA34B7" w:rsidP="00B10B25">
    <w:pPr>
      <w:tabs>
        <w:tab w:val="left" w:pos="8080"/>
        <w:tab w:val="right" w:pos="9029"/>
      </w:tabs>
      <w:jc w:val="center"/>
      <w:rPr>
        <w:b/>
        <w:bCs/>
        <w:sz w:val="22"/>
        <w:szCs w:val="32"/>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EB12" w14:textId="25605574" w:rsidR="00BA34B7" w:rsidRPr="00B10B25" w:rsidRDefault="00BA34B7" w:rsidP="00091C41">
    <w:pPr>
      <w:rPr>
        <w:b/>
        <w:bCs/>
        <w:sz w:val="22"/>
        <w:szCs w:val="32"/>
        <w:lang w:val="de-CH"/>
      </w:rPr>
    </w:pPr>
  </w:p>
  <w:p w14:paraId="70E8157C" w14:textId="77777777" w:rsidR="00BA34B7" w:rsidRPr="004C43B1" w:rsidRDefault="00BA34B7" w:rsidP="003A3C73">
    <w:pPr>
      <w:tabs>
        <w:tab w:val="right" w:pos="1389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22DF" w14:textId="77777777" w:rsidR="00BA34B7" w:rsidRPr="004C43B1" w:rsidRDefault="00BA34B7" w:rsidP="001866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605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801B9"/>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20BE9"/>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4"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186B7AE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6" w15:restartNumberingAfterBreak="0">
    <w:nsid w:val="1B7B6E41"/>
    <w:multiLevelType w:val="multilevel"/>
    <w:tmpl w:val="0E28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9110D"/>
    <w:multiLevelType w:val="hybridMultilevel"/>
    <w:tmpl w:val="2090A734"/>
    <w:lvl w:ilvl="0" w:tplc="0809000F">
      <w:start w:val="1"/>
      <w:numFmt w:val="decimal"/>
      <w:lvlText w:val="%1."/>
      <w:lvlJc w:val="left"/>
      <w:pPr>
        <w:ind w:left="720" w:hanging="360"/>
      </w:pPr>
      <w:rPr>
        <w:rFonts w:hint="default"/>
      </w:rPr>
    </w:lvl>
    <w:lvl w:ilvl="1" w:tplc="04090011">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F1364"/>
    <w:multiLevelType w:val="hybridMultilevel"/>
    <w:tmpl w:val="D652C716"/>
    <w:lvl w:ilvl="0" w:tplc="0807000F">
      <w:start w:val="1"/>
      <w:numFmt w:val="decimal"/>
      <w:lvlText w:val="%1."/>
      <w:lvlJc w:val="left"/>
      <w:pPr>
        <w:ind w:left="720" w:hanging="360"/>
      </w:pPr>
      <w:rPr>
        <w:rFonts w:hint="default"/>
      </w:rPr>
    </w:lvl>
    <w:lvl w:ilvl="1" w:tplc="EBFA7C96">
      <w:start w:val="1"/>
      <w:numFmt w:val="arabicAbjad"/>
      <w:lvlText w:val="%2."/>
      <w:lvlJc w:val="left"/>
      <w:pPr>
        <w:ind w:left="900" w:hanging="360"/>
      </w:pPr>
      <w:rPr>
        <w:rFonts w:ascii="Calibri" w:eastAsia="Calibri" w:hAnsi="Calibri" w:cs="Times New Roman"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D4C45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2431657"/>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72140A"/>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3D0C47"/>
    <w:multiLevelType w:val="hybridMultilevel"/>
    <w:tmpl w:val="143C92A8"/>
    <w:lvl w:ilvl="0" w:tplc="0807000F">
      <w:start w:val="1"/>
      <w:numFmt w:val="decimal"/>
      <w:lvlText w:val="%1."/>
      <w:lvlJc w:val="left"/>
      <w:pPr>
        <w:ind w:left="720" w:hanging="360"/>
      </w:pPr>
      <w:rPr>
        <w:rFonts w:hint="default"/>
      </w:rPr>
    </w:lvl>
    <w:lvl w:ilvl="1" w:tplc="EBFA7C96">
      <w:start w:val="1"/>
      <w:numFmt w:val="arabicAbjad"/>
      <w:lvlText w:val="%2."/>
      <w:lvlJc w:val="left"/>
      <w:pPr>
        <w:ind w:left="1440" w:hanging="360"/>
      </w:pPr>
      <w:rPr>
        <w:rFonts w:ascii="Calibri" w:eastAsia="Calibri" w:hAnsi="Calibri" w:cs="Times New Roman"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A664E8C"/>
    <w:multiLevelType w:val="hybridMultilevel"/>
    <w:tmpl w:val="4DB8FFA4"/>
    <w:lvl w:ilvl="0" w:tplc="C45EF402">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9646DDF"/>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7" w15:restartNumberingAfterBreak="0">
    <w:nsid w:val="6A592343"/>
    <w:multiLevelType w:val="hybridMultilevel"/>
    <w:tmpl w:val="D31EC528"/>
    <w:lvl w:ilvl="0" w:tplc="8FBCB73A">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29" w15:restartNumberingAfterBreak="0">
    <w:nsid w:val="7381791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30" w15:restartNumberingAfterBreak="0">
    <w:nsid w:val="790B6C7D"/>
    <w:multiLevelType w:val="hybridMultilevel"/>
    <w:tmpl w:val="8D16F0AC"/>
    <w:lvl w:ilvl="0" w:tplc="DF30B1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1"/>
  </w:num>
  <w:num w:numId="4">
    <w:abstractNumId w:val="1"/>
  </w:num>
  <w:num w:numId="5">
    <w:abstractNumId w:val="29"/>
  </w:num>
  <w:num w:numId="6">
    <w:abstractNumId w:val="7"/>
  </w:num>
  <w:num w:numId="7">
    <w:abstractNumId w:val="16"/>
  </w:num>
  <w:num w:numId="8">
    <w:abstractNumId w:val="4"/>
  </w:num>
  <w:num w:numId="9">
    <w:abstractNumId w:val="13"/>
  </w:num>
  <w:num w:numId="10">
    <w:abstractNumId w:val="19"/>
  </w:num>
  <w:num w:numId="11">
    <w:abstractNumId w:val="11"/>
  </w:num>
  <w:num w:numId="12">
    <w:abstractNumId w:val="22"/>
  </w:num>
  <w:num w:numId="13">
    <w:abstractNumId w:val="8"/>
  </w:num>
  <w:num w:numId="14">
    <w:abstractNumId w:val="18"/>
  </w:num>
  <w:num w:numId="15">
    <w:abstractNumId w:val="24"/>
  </w:num>
  <w:num w:numId="16">
    <w:abstractNumId w:val="28"/>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7"/>
  </w:num>
  <w:num w:numId="28">
    <w:abstractNumId w:val="14"/>
  </w:num>
  <w:num w:numId="29">
    <w:abstractNumId w:val="15"/>
  </w:num>
  <w:num w:numId="30">
    <w:abstractNumId w:val="0"/>
  </w:num>
  <w:num w:numId="31">
    <w:abstractNumId w:val="5"/>
  </w:num>
  <w:num w:numId="32">
    <w:abstractNumId w:val="3"/>
  </w:num>
  <w:num w:numId="33">
    <w:abstractNumId w:val="30"/>
  </w:num>
  <w:num w:numId="34">
    <w:abstractNumId w:val="21"/>
  </w:num>
  <w:num w:numId="35">
    <w:abstractNumId w:val="20"/>
  </w:num>
  <w:num w:numId="36">
    <w:abstractNumId w:val="26"/>
  </w:num>
  <w:num w:numId="37">
    <w:abstractNumId w:val="2"/>
  </w:num>
  <w:num w:numId="38">
    <w:abstractNumId w:val="27"/>
  </w:num>
  <w:num w:numId="39">
    <w:abstractNumId w:val="23"/>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de-DE" w:vendorID="64" w:dllVersion="6" w:nlCheck="1" w:checkStyle="0"/>
  <w:activeWritingStyle w:appName="MSWord" w:lang="fr-FR" w:vendorID="64" w:dllVersion="6" w:nlCheck="1" w:checkStyle="0"/>
  <w:activeWritingStyle w:appName="MSWord" w:lang="ar-AE"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AE" w:vendorID="64" w:dllVersion="6" w:nlCheck="1" w:checkStyle="0"/>
  <w:activeWritingStyle w:appName="MSWord" w:lang="ar-SA" w:vendorID="64" w:dllVersion="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2&lt;/item&gt;&lt;item&gt;3&lt;/item&gt;&lt;item&gt;4&lt;/item&gt;&lt;item&gt;5&lt;/item&gt;&lt;item&gt;19&lt;/item&gt;&lt;item&gt;22&lt;/item&gt;&lt;item&gt;23&lt;/item&gt;&lt;item&gt;24&lt;/item&gt;&lt;item&gt;25&lt;/item&gt;&lt;item&gt;26&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669"/>
    <w:rsid w:val="00011E4F"/>
    <w:rsid w:val="00012656"/>
    <w:rsid w:val="00013B80"/>
    <w:rsid w:val="0001403F"/>
    <w:rsid w:val="00014137"/>
    <w:rsid w:val="000144F9"/>
    <w:rsid w:val="0001463C"/>
    <w:rsid w:val="0001469D"/>
    <w:rsid w:val="00014941"/>
    <w:rsid w:val="000154A6"/>
    <w:rsid w:val="000163FD"/>
    <w:rsid w:val="00016A84"/>
    <w:rsid w:val="0001712C"/>
    <w:rsid w:val="00017B93"/>
    <w:rsid w:val="00020194"/>
    <w:rsid w:val="00020926"/>
    <w:rsid w:val="000216FA"/>
    <w:rsid w:val="00021E12"/>
    <w:rsid w:val="00022509"/>
    <w:rsid w:val="000231CE"/>
    <w:rsid w:val="00023230"/>
    <w:rsid w:val="000233E1"/>
    <w:rsid w:val="0002381E"/>
    <w:rsid w:val="0002472D"/>
    <w:rsid w:val="0002493E"/>
    <w:rsid w:val="0002519A"/>
    <w:rsid w:val="000252C1"/>
    <w:rsid w:val="000256A1"/>
    <w:rsid w:val="0002666D"/>
    <w:rsid w:val="00026842"/>
    <w:rsid w:val="00027653"/>
    <w:rsid w:val="00030359"/>
    <w:rsid w:val="00030FF2"/>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4794"/>
    <w:rsid w:val="00044EBC"/>
    <w:rsid w:val="00046637"/>
    <w:rsid w:val="00046729"/>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263E"/>
    <w:rsid w:val="000626B0"/>
    <w:rsid w:val="000626E8"/>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8"/>
    <w:rsid w:val="000726CE"/>
    <w:rsid w:val="00072C51"/>
    <w:rsid w:val="000733C1"/>
    <w:rsid w:val="0007372D"/>
    <w:rsid w:val="00073873"/>
    <w:rsid w:val="00073B2F"/>
    <w:rsid w:val="00074422"/>
    <w:rsid w:val="00074C17"/>
    <w:rsid w:val="000752CC"/>
    <w:rsid w:val="000757A8"/>
    <w:rsid w:val="00075D93"/>
    <w:rsid w:val="0007618A"/>
    <w:rsid w:val="0007672E"/>
    <w:rsid w:val="00076824"/>
    <w:rsid w:val="00077D5B"/>
    <w:rsid w:val="000812C9"/>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6F66"/>
    <w:rsid w:val="00087B7B"/>
    <w:rsid w:val="00087DCB"/>
    <w:rsid w:val="00091506"/>
    <w:rsid w:val="00091C41"/>
    <w:rsid w:val="000921F2"/>
    <w:rsid w:val="000929E8"/>
    <w:rsid w:val="00092EDA"/>
    <w:rsid w:val="0009305B"/>
    <w:rsid w:val="0009376B"/>
    <w:rsid w:val="00093A00"/>
    <w:rsid w:val="00093D46"/>
    <w:rsid w:val="000964BA"/>
    <w:rsid w:val="00096B72"/>
    <w:rsid w:val="00096F8C"/>
    <w:rsid w:val="00097E72"/>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0FFD"/>
    <w:rsid w:val="000B1049"/>
    <w:rsid w:val="000B1A33"/>
    <w:rsid w:val="000B282C"/>
    <w:rsid w:val="000B2DA9"/>
    <w:rsid w:val="000B3518"/>
    <w:rsid w:val="000B3925"/>
    <w:rsid w:val="000B3A95"/>
    <w:rsid w:val="000B3D1B"/>
    <w:rsid w:val="000B3F53"/>
    <w:rsid w:val="000B4195"/>
    <w:rsid w:val="000B5639"/>
    <w:rsid w:val="000B56A3"/>
    <w:rsid w:val="000B714F"/>
    <w:rsid w:val="000B73A9"/>
    <w:rsid w:val="000C0127"/>
    <w:rsid w:val="000C036B"/>
    <w:rsid w:val="000C03F1"/>
    <w:rsid w:val="000C04BE"/>
    <w:rsid w:val="000C05F1"/>
    <w:rsid w:val="000C08B7"/>
    <w:rsid w:val="000C0B42"/>
    <w:rsid w:val="000C18AF"/>
    <w:rsid w:val="000C1B29"/>
    <w:rsid w:val="000C2D59"/>
    <w:rsid w:val="000C38B7"/>
    <w:rsid w:val="000C39E2"/>
    <w:rsid w:val="000C3BDC"/>
    <w:rsid w:val="000C4339"/>
    <w:rsid w:val="000C4726"/>
    <w:rsid w:val="000C47A3"/>
    <w:rsid w:val="000C569C"/>
    <w:rsid w:val="000C5862"/>
    <w:rsid w:val="000C59C7"/>
    <w:rsid w:val="000C59DB"/>
    <w:rsid w:val="000C5E67"/>
    <w:rsid w:val="000C676D"/>
    <w:rsid w:val="000C693D"/>
    <w:rsid w:val="000D0590"/>
    <w:rsid w:val="000D07ED"/>
    <w:rsid w:val="000D0C5D"/>
    <w:rsid w:val="000D0E0B"/>
    <w:rsid w:val="000D1B3B"/>
    <w:rsid w:val="000D2763"/>
    <w:rsid w:val="000D2E4D"/>
    <w:rsid w:val="000D317B"/>
    <w:rsid w:val="000D32B6"/>
    <w:rsid w:val="000D3F3A"/>
    <w:rsid w:val="000D440D"/>
    <w:rsid w:val="000D4F40"/>
    <w:rsid w:val="000D5CFC"/>
    <w:rsid w:val="000D5DE0"/>
    <w:rsid w:val="000D6920"/>
    <w:rsid w:val="000D6B15"/>
    <w:rsid w:val="000D7693"/>
    <w:rsid w:val="000E0178"/>
    <w:rsid w:val="000E0669"/>
    <w:rsid w:val="000E084B"/>
    <w:rsid w:val="000E0887"/>
    <w:rsid w:val="000E0EDB"/>
    <w:rsid w:val="000E130C"/>
    <w:rsid w:val="000E15A0"/>
    <w:rsid w:val="000E231D"/>
    <w:rsid w:val="000E2663"/>
    <w:rsid w:val="000E295E"/>
    <w:rsid w:val="000E2F9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1E58"/>
    <w:rsid w:val="000F2FBB"/>
    <w:rsid w:val="000F37AC"/>
    <w:rsid w:val="000F3AD6"/>
    <w:rsid w:val="000F3B5D"/>
    <w:rsid w:val="000F54C8"/>
    <w:rsid w:val="000F560B"/>
    <w:rsid w:val="000F5E6D"/>
    <w:rsid w:val="000F616B"/>
    <w:rsid w:val="000F668B"/>
    <w:rsid w:val="000F6F3F"/>
    <w:rsid w:val="000F795E"/>
    <w:rsid w:val="000F7CFC"/>
    <w:rsid w:val="0010036D"/>
    <w:rsid w:val="00101306"/>
    <w:rsid w:val="00101728"/>
    <w:rsid w:val="001019A0"/>
    <w:rsid w:val="00103009"/>
    <w:rsid w:val="0010303D"/>
    <w:rsid w:val="00103CCD"/>
    <w:rsid w:val="0010407E"/>
    <w:rsid w:val="001053B1"/>
    <w:rsid w:val="001055E1"/>
    <w:rsid w:val="00105E70"/>
    <w:rsid w:val="001065CD"/>
    <w:rsid w:val="0010675A"/>
    <w:rsid w:val="00106C98"/>
    <w:rsid w:val="001105AC"/>
    <w:rsid w:val="001112AE"/>
    <w:rsid w:val="001122EF"/>
    <w:rsid w:val="001132E1"/>
    <w:rsid w:val="00113AB5"/>
    <w:rsid w:val="00117511"/>
    <w:rsid w:val="0011757C"/>
    <w:rsid w:val="00117D4E"/>
    <w:rsid w:val="001200BE"/>
    <w:rsid w:val="001214C3"/>
    <w:rsid w:val="001223D9"/>
    <w:rsid w:val="00123334"/>
    <w:rsid w:val="001237B1"/>
    <w:rsid w:val="00123E08"/>
    <w:rsid w:val="00123FD5"/>
    <w:rsid w:val="001257BD"/>
    <w:rsid w:val="001257F1"/>
    <w:rsid w:val="00126005"/>
    <w:rsid w:val="00126A56"/>
    <w:rsid w:val="00127FF4"/>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43"/>
    <w:rsid w:val="001434DC"/>
    <w:rsid w:val="001439E4"/>
    <w:rsid w:val="0014473A"/>
    <w:rsid w:val="00144AFD"/>
    <w:rsid w:val="001450BB"/>
    <w:rsid w:val="0014670B"/>
    <w:rsid w:val="001469FA"/>
    <w:rsid w:val="00146E65"/>
    <w:rsid w:val="00147295"/>
    <w:rsid w:val="00151084"/>
    <w:rsid w:val="00152178"/>
    <w:rsid w:val="00152198"/>
    <w:rsid w:val="00152ACF"/>
    <w:rsid w:val="001539E3"/>
    <w:rsid w:val="00153D38"/>
    <w:rsid w:val="00155252"/>
    <w:rsid w:val="001553FC"/>
    <w:rsid w:val="0015565A"/>
    <w:rsid w:val="00155B47"/>
    <w:rsid w:val="0015605D"/>
    <w:rsid w:val="001567A1"/>
    <w:rsid w:val="001578AB"/>
    <w:rsid w:val="0016029E"/>
    <w:rsid w:val="0016062C"/>
    <w:rsid w:val="00160972"/>
    <w:rsid w:val="00160D82"/>
    <w:rsid w:val="00161004"/>
    <w:rsid w:val="001614A5"/>
    <w:rsid w:val="00161B82"/>
    <w:rsid w:val="00161C27"/>
    <w:rsid w:val="00163033"/>
    <w:rsid w:val="0016328F"/>
    <w:rsid w:val="0016362B"/>
    <w:rsid w:val="00163C52"/>
    <w:rsid w:val="00163EC9"/>
    <w:rsid w:val="00163F84"/>
    <w:rsid w:val="00164442"/>
    <w:rsid w:val="00165D2C"/>
    <w:rsid w:val="00165EAE"/>
    <w:rsid w:val="00166287"/>
    <w:rsid w:val="001664D2"/>
    <w:rsid w:val="0016655D"/>
    <w:rsid w:val="0016668E"/>
    <w:rsid w:val="00166AAA"/>
    <w:rsid w:val="00167019"/>
    <w:rsid w:val="00167726"/>
    <w:rsid w:val="00167B98"/>
    <w:rsid w:val="0017103B"/>
    <w:rsid w:val="0017195B"/>
    <w:rsid w:val="0017213F"/>
    <w:rsid w:val="00172199"/>
    <w:rsid w:val="001726AD"/>
    <w:rsid w:val="0017290D"/>
    <w:rsid w:val="00172D0E"/>
    <w:rsid w:val="00172DD3"/>
    <w:rsid w:val="00172EED"/>
    <w:rsid w:val="00173558"/>
    <w:rsid w:val="001743F9"/>
    <w:rsid w:val="0017471F"/>
    <w:rsid w:val="0017547E"/>
    <w:rsid w:val="00175B25"/>
    <w:rsid w:val="001760B5"/>
    <w:rsid w:val="0017612F"/>
    <w:rsid w:val="0017699C"/>
    <w:rsid w:val="00180051"/>
    <w:rsid w:val="00180764"/>
    <w:rsid w:val="00180AA3"/>
    <w:rsid w:val="00180ACF"/>
    <w:rsid w:val="00180B33"/>
    <w:rsid w:val="00180C25"/>
    <w:rsid w:val="00180E9C"/>
    <w:rsid w:val="00181140"/>
    <w:rsid w:val="001811E1"/>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286"/>
    <w:rsid w:val="00195921"/>
    <w:rsid w:val="00195B23"/>
    <w:rsid w:val="00196F92"/>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F94"/>
    <w:rsid w:val="001A4C06"/>
    <w:rsid w:val="001A4F28"/>
    <w:rsid w:val="001A527B"/>
    <w:rsid w:val="001A57E7"/>
    <w:rsid w:val="001A597D"/>
    <w:rsid w:val="001A5B0D"/>
    <w:rsid w:val="001A5E73"/>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26F8"/>
    <w:rsid w:val="001B38EA"/>
    <w:rsid w:val="001B4513"/>
    <w:rsid w:val="001B49C0"/>
    <w:rsid w:val="001B4F26"/>
    <w:rsid w:val="001B5330"/>
    <w:rsid w:val="001B5681"/>
    <w:rsid w:val="001B5BFC"/>
    <w:rsid w:val="001B65F2"/>
    <w:rsid w:val="001B67B7"/>
    <w:rsid w:val="001B6A31"/>
    <w:rsid w:val="001C036D"/>
    <w:rsid w:val="001C0475"/>
    <w:rsid w:val="001C0BD4"/>
    <w:rsid w:val="001C0C70"/>
    <w:rsid w:val="001C0EC3"/>
    <w:rsid w:val="001C1984"/>
    <w:rsid w:val="001C1F8E"/>
    <w:rsid w:val="001C1FC8"/>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835"/>
    <w:rsid w:val="001D3D94"/>
    <w:rsid w:val="001D4163"/>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477D"/>
    <w:rsid w:val="001E5240"/>
    <w:rsid w:val="001E5DD6"/>
    <w:rsid w:val="001E6B1A"/>
    <w:rsid w:val="001E6E52"/>
    <w:rsid w:val="001E6EAC"/>
    <w:rsid w:val="001E7063"/>
    <w:rsid w:val="001E72E1"/>
    <w:rsid w:val="001E7560"/>
    <w:rsid w:val="001F01FE"/>
    <w:rsid w:val="001F0CAD"/>
    <w:rsid w:val="001F1775"/>
    <w:rsid w:val="001F2094"/>
    <w:rsid w:val="001F26F0"/>
    <w:rsid w:val="001F2E51"/>
    <w:rsid w:val="001F447E"/>
    <w:rsid w:val="001F4828"/>
    <w:rsid w:val="001F4C68"/>
    <w:rsid w:val="001F554C"/>
    <w:rsid w:val="001F5F36"/>
    <w:rsid w:val="001F6BCB"/>
    <w:rsid w:val="001F7323"/>
    <w:rsid w:val="001F7546"/>
    <w:rsid w:val="001F7987"/>
    <w:rsid w:val="00200630"/>
    <w:rsid w:val="00200844"/>
    <w:rsid w:val="0020124C"/>
    <w:rsid w:val="002019E8"/>
    <w:rsid w:val="00202536"/>
    <w:rsid w:val="00202E6F"/>
    <w:rsid w:val="00204096"/>
    <w:rsid w:val="002043BB"/>
    <w:rsid w:val="00204826"/>
    <w:rsid w:val="0020495F"/>
    <w:rsid w:val="0020513E"/>
    <w:rsid w:val="002058B3"/>
    <w:rsid w:val="00205DBD"/>
    <w:rsid w:val="00205E62"/>
    <w:rsid w:val="00205EB9"/>
    <w:rsid w:val="00206F54"/>
    <w:rsid w:val="002104A0"/>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B6D"/>
    <w:rsid w:val="00230FD3"/>
    <w:rsid w:val="00231E86"/>
    <w:rsid w:val="00232DA9"/>
    <w:rsid w:val="00232F24"/>
    <w:rsid w:val="002336AE"/>
    <w:rsid w:val="002339DB"/>
    <w:rsid w:val="00233D9A"/>
    <w:rsid w:val="00234328"/>
    <w:rsid w:val="0023516E"/>
    <w:rsid w:val="00235197"/>
    <w:rsid w:val="002359A6"/>
    <w:rsid w:val="00235E1E"/>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25FA"/>
    <w:rsid w:val="002531B6"/>
    <w:rsid w:val="002540BA"/>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D79"/>
    <w:rsid w:val="00261E0A"/>
    <w:rsid w:val="0026255A"/>
    <w:rsid w:val="0026320A"/>
    <w:rsid w:val="0026353D"/>
    <w:rsid w:val="00263967"/>
    <w:rsid w:val="00263E5C"/>
    <w:rsid w:val="00264429"/>
    <w:rsid w:val="00265308"/>
    <w:rsid w:val="00266AF7"/>
    <w:rsid w:val="00266B6C"/>
    <w:rsid w:val="002671F0"/>
    <w:rsid w:val="00267DA2"/>
    <w:rsid w:val="00270A1A"/>
    <w:rsid w:val="00270BEC"/>
    <w:rsid w:val="00271499"/>
    <w:rsid w:val="002714E6"/>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A53"/>
    <w:rsid w:val="00282ED0"/>
    <w:rsid w:val="002834FE"/>
    <w:rsid w:val="00283EAF"/>
    <w:rsid w:val="002848D3"/>
    <w:rsid w:val="00284A10"/>
    <w:rsid w:val="00284CA0"/>
    <w:rsid w:val="00284E36"/>
    <w:rsid w:val="0028514D"/>
    <w:rsid w:val="002868FF"/>
    <w:rsid w:val="00286986"/>
    <w:rsid w:val="00286BE7"/>
    <w:rsid w:val="00287957"/>
    <w:rsid w:val="00290187"/>
    <w:rsid w:val="002901E7"/>
    <w:rsid w:val="00290321"/>
    <w:rsid w:val="002908A9"/>
    <w:rsid w:val="00290968"/>
    <w:rsid w:val="002918D5"/>
    <w:rsid w:val="00291AF5"/>
    <w:rsid w:val="0029208A"/>
    <w:rsid w:val="002921DB"/>
    <w:rsid w:val="002927C3"/>
    <w:rsid w:val="00292C6A"/>
    <w:rsid w:val="00293333"/>
    <w:rsid w:val="00293ABF"/>
    <w:rsid w:val="00294A62"/>
    <w:rsid w:val="0029509A"/>
    <w:rsid w:val="002953CC"/>
    <w:rsid w:val="00295B75"/>
    <w:rsid w:val="00295D13"/>
    <w:rsid w:val="00295F23"/>
    <w:rsid w:val="00296681"/>
    <w:rsid w:val="002966A2"/>
    <w:rsid w:val="00297B84"/>
    <w:rsid w:val="002A0182"/>
    <w:rsid w:val="002A042D"/>
    <w:rsid w:val="002A098E"/>
    <w:rsid w:val="002A0CCC"/>
    <w:rsid w:val="002A1E96"/>
    <w:rsid w:val="002A263F"/>
    <w:rsid w:val="002A2A59"/>
    <w:rsid w:val="002A364A"/>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2359"/>
    <w:rsid w:val="002B306D"/>
    <w:rsid w:val="002B3DC1"/>
    <w:rsid w:val="002B58DD"/>
    <w:rsid w:val="002B649C"/>
    <w:rsid w:val="002B6BCD"/>
    <w:rsid w:val="002C10D7"/>
    <w:rsid w:val="002C161E"/>
    <w:rsid w:val="002C208A"/>
    <w:rsid w:val="002C2F02"/>
    <w:rsid w:val="002C3FA0"/>
    <w:rsid w:val="002C47B3"/>
    <w:rsid w:val="002C4811"/>
    <w:rsid w:val="002C4E5D"/>
    <w:rsid w:val="002C505B"/>
    <w:rsid w:val="002C5905"/>
    <w:rsid w:val="002C5C9F"/>
    <w:rsid w:val="002C62CE"/>
    <w:rsid w:val="002C64ED"/>
    <w:rsid w:val="002C6D9D"/>
    <w:rsid w:val="002C6EAC"/>
    <w:rsid w:val="002C7B12"/>
    <w:rsid w:val="002D0ECA"/>
    <w:rsid w:val="002D2216"/>
    <w:rsid w:val="002D34E9"/>
    <w:rsid w:val="002D350C"/>
    <w:rsid w:val="002D3570"/>
    <w:rsid w:val="002D3EB1"/>
    <w:rsid w:val="002D4D69"/>
    <w:rsid w:val="002D5FD6"/>
    <w:rsid w:val="002D68F9"/>
    <w:rsid w:val="002D6DB2"/>
    <w:rsid w:val="002E0EB4"/>
    <w:rsid w:val="002E117D"/>
    <w:rsid w:val="002E163A"/>
    <w:rsid w:val="002E1E1E"/>
    <w:rsid w:val="002E249F"/>
    <w:rsid w:val="002E2CB3"/>
    <w:rsid w:val="002E2CC2"/>
    <w:rsid w:val="002E2CEA"/>
    <w:rsid w:val="002E3271"/>
    <w:rsid w:val="002E3F9E"/>
    <w:rsid w:val="002E3FB6"/>
    <w:rsid w:val="002E44F9"/>
    <w:rsid w:val="002E4F22"/>
    <w:rsid w:val="002E50BF"/>
    <w:rsid w:val="002E6085"/>
    <w:rsid w:val="002E6E88"/>
    <w:rsid w:val="002F071E"/>
    <w:rsid w:val="002F0A5C"/>
    <w:rsid w:val="002F0FD2"/>
    <w:rsid w:val="002F14DB"/>
    <w:rsid w:val="002F1782"/>
    <w:rsid w:val="002F1C1F"/>
    <w:rsid w:val="002F2604"/>
    <w:rsid w:val="002F2DF5"/>
    <w:rsid w:val="002F2ED9"/>
    <w:rsid w:val="002F334F"/>
    <w:rsid w:val="002F399C"/>
    <w:rsid w:val="002F419F"/>
    <w:rsid w:val="002F4228"/>
    <w:rsid w:val="002F4516"/>
    <w:rsid w:val="002F4A21"/>
    <w:rsid w:val="002F4A33"/>
    <w:rsid w:val="002F4CF8"/>
    <w:rsid w:val="002F5794"/>
    <w:rsid w:val="002F6687"/>
    <w:rsid w:val="00300FEB"/>
    <w:rsid w:val="00301BEE"/>
    <w:rsid w:val="00301CF1"/>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2AF3"/>
    <w:rsid w:val="00313C96"/>
    <w:rsid w:val="00313D8C"/>
    <w:rsid w:val="003143B5"/>
    <w:rsid w:val="00314AC8"/>
    <w:rsid w:val="00314F4C"/>
    <w:rsid w:val="00315116"/>
    <w:rsid w:val="003155C4"/>
    <w:rsid w:val="003158F6"/>
    <w:rsid w:val="00315DDB"/>
    <w:rsid w:val="00316570"/>
    <w:rsid w:val="0031708F"/>
    <w:rsid w:val="0031710F"/>
    <w:rsid w:val="00317ACF"/>
    <w:rsid w:val="00317F75"/>
    <w:rsid w:val="00317FE6"/>
    <w:rsid w:val="003208CF"/>
    <w:rsid w:val="00320EDD"/>
    <w:rsid w:val="00321D50"/>
    <w:rsid w:val="00323A0C"/>
    <w:rsid w:val="003242CF"/>
    <w:rsid w:val="003249EA"/>
    <w:rsid w:val="00325EF7"/>
    <w:rsid w:val="00326F44"/>
    <w:rsid w:val="0032700C"/>
    <w:rsid w:val="00327409"/>
    <w:rsid w:val="003274A1"/>
    <w:rsid w:val="003278F0"/>
    <w:rsid w:val="00327C17"/>
    <w:rsid w:val="003307FA"/>
    <w:rsid w:val="00331700"/>
    <w:rsid w:val="00331B58"/>
    <w:rsid w:val="00331FE2"/>
    <w:rsid w:val="0033234C"/>
    <w:rsid w:val="003334B1"/>
    <w:rsid w:val="00333C11"/>
    <w:rsid w:val="00333C1C"/>
    <w:rsid w:val="00335968"/>
    <w:rsid w:val="00335E93"/>
    <w:rsid w:val="00336A47"/>
    <w:rsid w:val="00336DE1"/>
    <w:rsid w:val="003378BE"/>
    <w:rsid w:val="00337BFD"/>
    <w:rsid w:val="00340183"/>
    <w:rsid w:val="003406AC"/>
    <w:rsid w:val="00340B77"/>
    <w:rsid w:val="00341493"/>
    <w:rsid w:val="00341A61"/>
    <w:rsid w:val="0034276A"/>
    <w:rsid w:val="00342913"/>
    <w:rsid w:val="00342AE9"/>
    <w:rsid w:val="00343310"/>
    <w:rsid w:val="00343AB4"/>
    <w:rsid w:val="00343B2C"/>
    <w:rsid w:val="00343DFF"/>
    <w:rsid w:val="00344131"/>
    <w:rsid w:val="0034460B"/>
    <w:rsid w:val="00345CC1"/>
    <w:rsid w:val="00345D0A"/>
    <w:rsid w:val="00346D36"/>
    <w:rsid w:val="00347672"/>
    <w:rsid w:val="00347848"/>
    <w:rsid w:val="003479EF"/>
    <w:rsid w:val="00347B94"/>
    <w:rsid w:val="0035004D"/>
    <w:rsid w:val="0035034E"/>
    <w:rsid w:val="003510CD"/>
    <w:rsid w:val="0035125B"/>
    <w:rsid w:val="003512C5"/>
    <w:rsid w:val="00352CDA"/>
    <w:rsid w:val="0035314E"/>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37A"/>
    <w:rsid w:val="0035749E"/>
    <w:rsid w:val="00357FDB"/>
    <w:rsid w:val="0036019B"/>
    <w:rsid w:val="00360F3A"/>
    <w:rsid w:val="00361153"/>
    <w:rsid w:val="00361648"/>
    <w:rsid w:val="00361CFD"/>
    <w:rsid w:val="00361F8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448D"/>
    <w:rsid w:val="003758C9"/>
    <w:rsid w:val="00376E0C"/>
    <w:rsid w:val="003771D8"/>
    <w:rsid w:val="003777FC"/>
    <w:rsid w:val="00377E26"/>
    <w:rsid w:val="00377FCC"/>
    <w:rsid w:val="003807C5"/>
    <w:rsid w:val="00381295"/>
    <w:rsid w:val="00381A33"/>
    <w:rsid w:val="00382612"/>
    <w:rsid w:val="00382D14"/>
    <w:rsid w:val="00382F7F"/>
    <w:rsid w:val="00382F8A"/>
    <w:rsid w:val="00384202"/>
    <w:rsid w:val="00384B0C"/>
    <w:rsid w:val="00384FF1"/>
    <w:rsid w:val="00385865"/>
    <w:rsid w:val="00385ADA"/>
    <w:rsid w:val="00385E80"/>
    <w:rsid w:val="003860C3"/>
    <w:rsid w:val="00386B82"/>
    <w:rsid w:val="00386BE3"/>
    <w:rsid w:val="0038714E"/>
    <w:rsid w:val="00387767"/>
    <w:rsid w:val="00390C1D"/>
    <w:rsid w:val="00390F50"/>
    <w:rsid w:val="00391063"/>
    <w:rsid w:val="0039255A"/>
    <w:rsid w:val="0039292E"/>
    <w:rsid w:val="003931B9"/>
    <w:rsid w:val="003938A7"/>
    <w:rsid w:val="00394202"/>
    <w:rsid w:val="003947AA"/>
    <w:rsid w:val="00396A98"/>
    <w:rsid w:val="00396AE2"/>
    <w:rsid w:val="00396E0B"/>
    <w:rsid w:val="003A014A"/>
    <w:rsid w:val="003A01E4"/>
    <w:rsid w:val="003A0420"/>
    <w:rsid w:val="003A0490"/>
    <w:rsid w:val="003A0F79"/>
    <w:rsid w:val="003A1C31"/>
    <w:rsid w:val="003A2E2B"/>
    <w:rsid w:val="003A2F37"/>
    <w:rsid w:val="003A39FF"/>
    <w:rsid w:val="003A3C73"/>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3EE1"/>
    <w:rsid w:val="003B4402"/>
    <w:rsid w:val="003B4839"/>
    <w:rsid w:val="003B53EE"/>
    <w:rsid w:val="003B64E5"/>
    <w:rsid w:val="003B6A4C"/>
    <w:rsid w:val="003B6AE4"/>
    <w:rsid w:val="003B6F53"/>
    <w:rsid w:val="003C01FE"/>
    <w:rsid w:val="003C0905"/>
    <w:rsid w:val="003C1200"/>
    <w:rsid w:val="003C1A1B"/>
    <w:rsid w:val="003C476C"/>
    <w:rsid w:val="003C6070"/>
    <w:rsid w:val="003C6418"/>
    <w:rsid w:val="003C6FA4"/>
    <w:rsid w:val="003C701F"/>
    <w:rsid w:val="003C75CA"/>
    <w:rsid w:val="003C797D"/>
    <w:rsid w:val="003C7E65"/>
    <w:rsid w:val="003D0B24"/>
    <w:rsid w:val="003D1343"/>
    <w:rsid w:val="003D1464"/>
    <w:rsid w:val="003D174D"/>
    <w:rsid w:val="003D176B"/>
    <w:rsid w:val="003D25F8"/>
    <w:rsid w:val="003D3211"/>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366"/>
    <w:rsid w:val="003E59EB"/>
    <w:rsid w:val="003E6187"/>
    <w:rsid w:val="003E6C51"/>
    <w:rsid w:val="003E7D5B"/>
    <w:rsid w:val="003F0258"/>
    <w:rsid w:val="003F08A3"/>
    <w:rsid w:val="003F115E"/>
    <w:rsid w:val="003F11B0"/>
    <w:rsid w:val="003F167E"/>
    <w:rsid w:val="003F1E91"/>
    <w:rsid w:val="003F20EC"/>
    <w:rsid w:val="003F300B"/>
    <w:rsid w:val="003F397A"/>
    <w:rsid w:val="003F3DA4"/>
    <w:rsid w:val="003F4166"/>
    <w:rsid w:val="003F4477"/>
    <w:rsid w:val="003F5041"/>
    <w:rsid w:val="003F56B7"/>
    <w:rsid w:val="003F5751"/>
    <w:rsid w:val="003F5F07"/>
    <w:rsid w:val="003F62DA"/>
    <w:rsid w:val="003F649C"/>
    <w:rsid w:val="003F6E11"/>
    <w:rsid w:val="003F6F72"/>
    <w:rsid w:val="003F711E"/>
    <w:rsid w:val="003F7614"/>
    <w:rsid w:val="0040018B"/>
    <w:rsid w:val="00400425"/>
    <w:rsid w:val="004009CA"/>
    <w:rsid w:val="004016DD"/>
    <w:rsid w:val="004019EB"/>
    <w:rsid w:val="00401A6D"/>
    <w:rsid w:val="00401EF8"/>
    <w:rsid w:val="00401F24"/>
    <w:rsid w:val="00401F62"/>
    <w:rsid w:val="004020DE"/>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3AD5"/>
    <w:rsid w:val="004249AF"/>
    <w:rsid w:val="004254FF"/>
    <w:rsid w:val="00426D03"/>
    <w:rsid w:val="00426F4E"/>
    <w:rsid w:val="00426F8D"/>
    <w:rsid w:val="00427AEA"/>
    <w:rsid w:val="0043098F"/>
    <w:rsid w:val="00430A34"/>
    <w:rsid w:val="00430AC7"/>
    <w:rsid w:val="00430C09"/>
    <w:rsid w:val="004316F8"/>
    <w:rsid w:val="00431C17"/>
    <w:rsid w:val="00432094"/>
    <w:rsid w:val="004324EB"/>
    <w:rsid w:val="0043284C"/>
    <w:rsid w:val="00432BB4"/>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795"/>
    <w:rsid w:val="0046097B"/>
    <w:rsid w:val="00461006"/>
    <w:rsid w:val="00461604"/>
    <w:rsid w:val="00461EC2"/>
    <w:rsid w:val="0046241F"/>
    <w:rsid w:val="004630A8"/>
    <w:rsid w:val="004638C3"/>
    <w:rsid w:val="00463900"/>
    <w:rsid w:val="0046417C"/>
    <w:rsid w:val="0046426E"/>
    <w:rsid w:val="00464680"/>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593D"/>
    <w:rsid w:val="004773C8"/>
    <w:rsid w:val="00480247"/>
    <w:rsid w:val="004809F5"/>
    <w:rsid w:val="00480BA5"/>
    <w:rsid w:val="00480EFA"/>
    <w:rsid w:val="00481CEA"/>
    <w:rsid w:val="00482197"/>
    <w:rsid w:val="00482D45"/>
    <w:rsid w:val="00482DAC"/>
    <w:rsid w:val="004833E1"/>
    <w:rsid w:val="004834BC"/>
    <w:rsid w:val="004837A3"/>
    <w:rsid w:val="00483DCF"/>
    <w:rsid w:val="004845BA"/>
    <w:rsid w:val="00485F3E"/>
    <w:rsid w:val="00485FC7"/>
    <w:rsid w:val="00486699"/>
    <w:rsid w:val="00486F5E"/>
    <w:rsid w:val="00487749"/>
    <w:rsid w:val="00487887"/>
    <w:rsid w:val="00487C13"/>
    <w:rsid w:val="004907B8"/>
    <w:rsid w:val="0049143B"/>
    <w:rsid w:val="00491893"/>
    <w:rsid w:val="004918D1"/>
    <w:rsid w:val="00491AA0"/>
    <w:rsid w:val="00491DE5"/>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4B38"/>
    <w:rsid w:val="004A5424"/>
    <w:rsid w:val="004A576F"/>
    <w:rsid w:val="004A5A3E"/>
    <w:rsid w:val="004A6612"/>
    <w:rsid w:val="004A6844"/>
    <w:rsid w:val="004A68CD"/>
    <w:rsid w:val="004A6C93"/>
    <w:rsid w:val="004A6CC7"/>
    <w:rsid w:val="004A6F9B"/>
    <w:rsid w:val="004A712D"/>
    <w:rsid w:val="004A749D"/>
    <w:rsid w:val="004A7762"/>
    <w:rsid w:val="004A7907"/>
    <w:rsid w:val="004A7CF9"/>
    <w:rsid w:val="004B07F7"/>
    <w:rsid w:val="004B20FD"/>
    <w:rsid w:val="004B217A"/>
    <w:rsid w:val="004B3047"/>
    <w:rsid w:val="004B377C"/>
    <w:rsid w:val="004B3C7A"/>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2FC"/>
    <w:rsid w:val="004E038C"/>
    <w:rsid w:val="004E29BF"/>
    <w:rsid w:val="004E35C9"/>
    <w:rsid w:val="004E3BF0"/>
    <w:rsid w:val="004E3F11"/>
    <w:rsid w:val="004E4182"/>
    <w:rsid w:val="004E4559"/>
    <w:rsid w:val="004E70E1"/>
    <w:rsid w:val="004E7EBD"/>
    <w:rsid w:val="004E7F51"/>
    <w:rsid w:val="004F1E88"/>
    <w:rsid w:val="004F256D"/>
    <w:rsid w:val="004F2615"/>
    <w:rsid w:val="004F3283"/>
    <w:rsid w:val="004F3D91"/>
    <w:rsid w:val="004F3E60"/>
    <w:rsid w:val="004F4D35"/>
    <w:rsid w:val="004F4DF6"/>
    <w:rsid w:val="004F4E22"/>
    <w:rsid w:val="004F4E6C"/>
    <w:rsid w:val="004F5622"/>
    <w:rsid w:val="004F62A0"/>
    <w:rsid w:val="004F62DA"/>
    <w:rsid w:val="004F6CD7"/>
    <w:rsid w:val="004F6F3C"/>
    <w:rsid w:val="004F71CD"/>
    <w:rsid w:val="004F7BDC"/>
    <w:rsid w:val="005003AC"/>
    <w:rsid w:val="00500588"/>
    <w:rsid w:val="005007B5"/>
    <w:rsid w:val="005014EE"/>
    <w:rsid w:val="00502800"/>
    <w:rsid w:val="00502A3A"/>
    <w:rsid w:val="00502D96"/>
    <w:rsid w:val="005034D5"/>
    <w:rsid w:val="00504D2E"/>
    <w:rsid w:val="00505A55"/>
    <w:rsid w:val="00505EE6"/>
    <w:rsid w:val="0050617B"/>
    <w:rsid w:val="0050637C"/>
    <w:rsid w:val="00510654"/>
    <w:rsid w:val="00510CF2"/>
    <w:rsid w:val="00512256"/>
    <w:rsid w:val="00512521"/>
    <w:rsid w:val="005131CE"/>
    <w:rsid w:val="0051360A"/>
    <w:rsid w:val="00513880"/>
    <w:rsid w:val="0051447C"/>
    <w:rsid w:val="0051471F"/>
    <w:rsid w:val="00515112"/>
    <w:rsid w:val="0051560D"/>
    <w:rsid w:val="00515EE3"/>
    <w:rsid w:val="00516053"/>
    <w:rsid w:val="005167EE"/>
    <w:rsid w:val="00516801"/>
    <w:rsid w:val="00516990"/>
    <w:rsid w:val="00516C62"/>
    <w:rsid w:val="00517CFD"/>
    <w:rsid w:val="00520D58"/>
    <w:rsid w:val="00521F72"/>
    <w:rsid w:val="00521FA3"/>
    <w:rsid w:val="00522106"/>
    <w:rsid w:val="00522A28"/>
    <w:rsid w:val="00523C21"/>
    <w:rsid w:val="00523F6F"/>
    <w:rsid w:val="00524621"/>
    <w:rsid w:val="00525728"/>
    <w:rsid w:val="00525927"/>
    <w:rsid w:val="00525A0E"/>
    <w:rsid w:val="00525CC2"/>
    <w:rsid w:val="00525F17"/>
    <w:rsid w:val="005270EB"/>
    <w:rsid w:val="00527BB0"/>
    <w:rsid w:val="005302CB"/>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1F06"/>
    <w:rsid w:val="005422A9"/>
    <w:rsid w:val="00542945"/>
    <w:rsid w:val="00543425"/>
    <w:rsid w:val="00543A26"/>
    <w:rsid w:val="00543BF5"/>
    <w:rsid w:val="00543DD8"/>
    <w:rsid w:val="00543EF2"/>
    <w:rsid w:val="0054406C"/>
    <w:rsid w:val="005440BA"/>
    <w:rsid w:val="0054502D"/>
    <w:rsid w:val="00545212"/>
    <w:rsid w:val="00545737"/>
    <w:rsid w:val="00545B07"/>
    <w:rsid w:val="00545E51"/>
    <w:rsid w:val="0054606D"/>
    <w:rsid w:val="00546B64"/>
    <w:rsid w:val="00547F93"/>
    <w:rsid w:val="00547F98"/>
    <w:rsid w:val="0055020D"/>
    <w:rsid w:val="00550A6F"/>
    <w:rsid w:val="00550C50"/>
    <w:rsid w:val="00551455"/>
    <w:rsid w:val="005519C8"/>
    <w:rsid w:val="00552C5A"/>
    <w:rsid w:val="00552C73"/>
    <w:rsid w:val="00553133"/>
    <w:rsid w:val="00554BED"/>
    <w:rsid w:val="005553C4"/>
    <w:rsid w:val="00555413"/>
    <w:rsid w:val="005559D2"/>
    <w:rsid w:val="005563F7"/>
    <w:rsid w:val="005569DD"/>
    <w:rsid w:val="00557469"/>
    <w:rsid w:val="005578A7"/>
    <w:rsid w:val="00557EDD"/>
    <w:rsid w:val="005607DA"/>
    <w:rsid w:val="0056093D"/>
    <w:rsid w:val="00560FAA"/>
    <w:rsid w:val="00561020"/>
    <w:rsid w:val="00561520"/>
    <w:rsid w:val="00561C80"/>
    <w:rsid w:val="00562A4C"/>
    <w:rsid w:val="00563210"/>
    <w:rsid w:val="005639B1"/>
    <w:rsid w:val="0056400C"/>
    <w:rsid w:val="005641E4"/>
    <w:rsid w:val="005643AE"/>
    <w:rsid w:val="00564C9E"/>
    <w:rsid w:val="0056507B"/>
    <w:rsid w:val="00565C66"/>
    <w:rsid w:val="005662D2"/>
    <w:rsid w:val="005664B3"/>
    <w:rsid w:val="00566793"/>
    <w:rsid w:val="00566EC4"/>
    <w:rsid w:val="00567165"/>
    <w:rsid w:val="00571051"/>
    <w:rsid w:val="0057105B"/>
    <w:rsid w:val="005710B7"/>
    <w:rsid w:val="00571A67"/>
    <w:rsid w:val="00571F69"/>
    <w:rsid w:val="0057363E"/>
    <w:rsid w:val="00573827"/>
    <w:rsid w:val="005738DE"/>
    <w:rsid w:val="005741AD"/>
    <w:rsid w:val="00574496"/>
    <w:rsid w:val="00575591"/>
    <w:rsid w:val="0057572D"/>
    <w:rsid w:val="00575F7A"/>
    <w:rsid w:val="005761FD"/>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56D"/>
    <w:rsid w:val="00587A17"/>
    <w:rsid w:val="00587CA1"/>
    <w:rsid w:val="00591007"/>
    <w:rsid w:val="0059117C"/>
    <w:rsid w:val="00591E37"/>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13B4"/>
    <w:rsid w:val="005A2774"/>
    <w:rsid w:val="005A2FA9"/>
    <w:rsid w:val="005A2FEA"/>
    <w:rsid w:val="005A311D"/>
    <w:rsid w:val="005A3A70"/>
    <w:rsid w:val="005A3F7C"/>
    <w:rsid w:val="005A592E"/>
    <w:rsid w:val="005A6021"/>
    <w:rsid w:val="005A611A"/>
    <w:rsid w:val="005A68C1"/>
    <w:rsid w:val="005A7035"/>
    <w:rsid w:val="005A7C6E"/>
    <w:rsid w:val="005B06C1"/>
    <w:rsid w:val="005B0F6C"/>
    <w:rsid w:val="005B12BD"/>
    <w:rsid w:val="005B13C0"/>
    <w:rsid w:val="005B140D"/>
    <w:rsid w:val="005B2304"/>
    <w:rsid w:val="005B29AF"/>
    <w:rsid w:val="005B2C54"/>
    <w:rsid w:val="005B36B6"/>
    <w:rsid w:val="005B3A70"/>
    <w:rsid w:val="005B46CA"/>
    <w:rsid w:val="005B5BDA"/>
    <w:rsid w:val="005B5C55"/>
    <w:rsid w:val="005B66FE"/>
    <w:rsid w:val="005B7379"/>
    <w:rsid w:val="005B79AF"/>
    <w:rsid w:val="005B7DE7"/>
    <w:rsid w:val="005C011B"/>
    <w:rsid w:val="005C0583"/>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0A1"/>
    <w:rsid w:val="005C743E"/>
    <w:rsid w:val="005D01B9"/>
    <w:rsid w:val="005D025B"/>
    <w:rsid w:val="005D04F6"/>
    <w:rsid w:val="005D0667"/>
    <w:rsid w:val="005D12D9"/>
    <w:rsid w:val="005D178D"/>
    <w:rsid w:val="005D2146"/>
    <w:rsid w:val="005D2FFF"/>
    <w:rsid w:val="005D3821"/>
    <w:rsid w:val="005D42AB"/>
    <w:rsid w:val="005D433E"/>
    <w:rsid w:val="005D58B0"/>
    <w:rsid w:val="005D6B6A"/>
    <w:rsid w:val="005D7055"/>
    <w:rsid w:val="005D72F7"/>
    <w:rsid w:val="005D76B5"/>
    <w:rsid w:val="005D7BA5"/>
    <w:rsid w:val="005D7E79"/>
    <w:rsid w:val="005E0708"/>
    <w:rsid w:val="005E1051"/>
    <w:rsid w:val="005E19D9"/>
    <w:rsid w:val="005E1F02"/>
    <w:rsid w:val="005E1F64"/>
    <w:rsid w:val="005E280F"/>
    <w:rsid w:val="005E28AC"/>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3CEF"/>
    <w:rsid w:val="005F4780"/>
    <w:rsid w:val="005F4A5A"/>
    <w:rsid w:val="005F4D02"/>
    <w:rsid w:val="005F54FE"/>
    <w:rsid w:val="005F58C5"/>
    <w:rsid w:val="005F5DF1"/>
    <w:rsid w:val="005F6542"/>
    <w:rsid w:val="005F6852"/>
    <w:rsid w:val="005F7788"/>
    <w:rsid w:val="00600AB2"/>
    <w:rsid w:val="00600AD4"/>
    <w:rsid w:val="00600BB7"/>
    <w:rsid w:val="006023E8"/>
    <w:rsid w:val="006024B1"/>
    <w:rsid w:val="0060286A"/>
    <w:rsid w:val="00603106"/>
    <w:rsid w:val="006032AD"/>
    <w:rsid w:val="00603DC4"/>
    <w:rsid w:val="006042B0"/>
    <w:rsid w:val="006048A2"/>
    <w:rsid w:val="006051CA"/>
    <w:rsid w:val="00605823"/>
    <w:rsid w:val="0060593C"/>
    <w:rsid w:val="00606493"/>
    <w:rsid w:val="00607734"/>
    <w:rsid w:val="00607B97"/>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D02"/>
    <w:rsid w:val="00621012"/>
    <w:rsid w:val="006212DF"/>
    <w:rsid w:val="00621614"/>
    <w:rsid w:val="00621627"/>
    <w:rsid w:val="00622D44"/>
    <w:rsid w:val="00623C69"/>
    <w:rsid w:val="00623E35"/>
    <w:rsid w:val="00624FD7"/>
    <w:rsid w:val="006262DC"/>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4FF0"/>
    <w:rsid w:val="00655266"/>
    <w:rsid w:val="0065553F"/>
    <w:rsid w:val="006560D3"/>
    <w:rsid w:val="00656344"/>
    <w:rsid w:val="00656B14"/>
    <w:rsid w:val="00660A5C"/>
    <w:rsid w:val="00661206"/>
    <w:rsid w:val="00661ACD"/>
    <w:rsid w:val="0066264D"/>
    <w:rsid w:val="00662FC6"/>
    <w:rsid w:val="00663BF1"/>
    <w:rsid w:val="00663CEC"/>
    <w:rsid w:val="00663D0F"/>
    <w:rsid w:val="0066573F"/>
    <w:rsid w:val="006659D4"/>
    <w:rsid w:val="006664FA"/>
    <w:rsid w:val="00666B99"/>
    <w:rsid w:val="0066793D"/>
    <w:rsid w:val="006703F4"/>
    <w:rsid w:val="006704DC"/>
    <w:rsid w:val="00670672"/>
    <w:rsid w:val="006707AA"/>
    <w:rsid w:val="006709C0"/>
    <w:rsid w:val="00670E36"/>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5566"/>
    <w:rsid w:val="00685C5B"/>
    <w:rsid w:val="00685D1A"/>
    <w:rsid w:val="0068643F"/>
    <w:rsid w:val="00686781"/>
    <w:rsid w:val="0068760B"/>
    <w:rsid w:val="00687636"/>
    <w:rsid w:val="006877C6"/>
    <w:rsid w:val="00690853"/>
    <w:rsid w:val="00690941"/>
    <w:rsid w:val="00690A68"/>
    <w:rsid w:val="00691464"/>
    <w:rsid w:val="00692B7F"/>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988"/>
    <w:rsid w:val="006B1574"/>
    <w:rsid w:val="006B2558"/>
    <w:rsid w:val="006B2571"/>
    <w:rsid w:val="006B25E6"/>
    <w:rsid w:val="006B2955"/>
    <w:rsid w:val="006B29FB"/>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3B6"/>
    <w:rsid w:val="006C35B0"/>
    <w:rsid w:val="006C4600"/>
    <w:rsid w:val="006C4DEF"/>
    <w:rsid w:val="006C5B35"/>
    <w:rsid w:val="006C6AF4"/>
    <w:rsid w:val="006C715C"/>
    <w:rsid w:val="006C749C"/>
    <w:rsid w:val="006D0031"/>
    <w:rsid w:val="006D01CD"/>
    <w:rsid w:val="006D0595"/>
    <w:rsid w:val="006D2100"/>
    <w:rsid w:val="006D261A"/>
    <w:rsid w:val="006D4225"/>
    <w:rsid w:val="006D424F"/>
    <w:rsid w:val="006D536B"/>
    <w:rsid w:val="006D5926"/>
    <w:rsid w:val="006D62B5"/>
    <w:rsid w:val="006D6F32"/>
    <w:rsid w:val="006D718C"/>
    <w:rsid w:val="006D7B9C"/>
    <w:rsid w:val="006E061B"/>
    <w:rsid w:val="006E07C5"/>
    <w:rsid w:val="006E08CA"/>
    <w:rsid w:val="006E1E35"/>
    <w:rsid w:val="006E21A9"/>
    <w:rsid w:val="006E22BF"/>
    <w:rsid w:val="006E3212"/>
    <w:rsid w:val="006E3956"/>
    <w:rsid w:val="006E3B1F"/>
    <w:rsid w:val="006E42BA"/>
    <w:rsid w:val="006E465A"/>
    <w:rsid w:val="006E4C46"/>
    <w:rsid w:val="006E5210"/>
    <w:rsid w:val="006E60AC"/>
    <w:rsid w:val="006E61A6"/>
    <w:rsid w:val="006E61AA"/>
    <w:rsid w:val="006E70C9"/>
    <w:rsid w:val="006E711E"/>
    <w:rsid w:val="006E7A27"/>
    <w:rsid w:val="006F00A1"/>
    <w:rsid w:val="006F0123"/>
    <w:rsid w:val="006F014C"/>
    <w:rsid w:val="006F0184"/>
    <w:rsid w:val="006F1DF3"/>
    <w:rsid w:val="006F1F28"/>
    <w:rsid w:val="006F2838"/>
    <w:rsid w:val="006F2926"/>
    <w:rsid w:val="006F33FB"/>
    <w:rsid w:val="006F34A3"/>
    <w:rsid w:val="006F3769"/>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0B7"/>
    <w:rsid w:val="00704681"/>
    <w:rsid w:val="00704C70"/>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B10"/>
    <w:rsid w:val="00716C10"/>
    <w:rsid w:val="00717023"/>
    <w:rsid w:val="00717355"/>
    <w:rsid w:val="007178F0"/>
    <w:rsid w:val="007179F0"/>
    <w:rsid w:val="00720471"/>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0FB"/>
    <w:rsid w:val="00740136"/>
    <w:rsid w:val="007401A9"/>
    <w:rsid w:val="0074060E"/>
    <w:rsid w:val="00740F6C"/>
    <w:rsid w:val="007411F6"/>
    <w:rsid w:val="0074130C"/>
    <w:rsid w:val="00741947"/>
    <w:rsid w:val="00742624"/>
    <w:rsid w:val="007438FD"/>
    <w:rsid w:val="00744455"/>
    <w:rsid w:val="00745904"/>
    <w:rsid w:val="00746368"/>
    <w:rsid w:val="0074674B"/>
    <w:rsid w:val="007468D7"/>
    <w:rsid w:val="00746CBA"/>
    <w:rsid w:val="00747D31"/>
    <w:rsid w:val="00747F79"/>
    <w:rsid w:val="00750206"/>
    <w:rsid w:val="00751269"/>
    <w:rsid w:val="00752C82"/>
    <w:rsid w:val="00753432"/>
    <w:rsid w:val="00753B03"/>
    <w:rsid w:val="00753EF8"/>
    <w:rsid w:val="00753FF5"/>
    <w:rsid w:val="007542CE"/>
    <w:rsid w:val="0075449F"/>
    <w:rsid w:val="00754BDC"/>
    <w:rsid w:val="007551B0"/>
    <w:rsid w:val="00755A2F"/>
    <w:rsid w:val="007560C2"/>
    <w:rsid w:val="007564A9"/>
    <w:rsid w:val="00756948"/>
    <w:rsid w:val="00756BE2"/>
    <w:rsid w:val="00756E10"/>
    <w:rsid w:val="00756E7E"/>
    <w:rsid w:val="007572E8"/>
    <w:rsid w:val="0075756B"/>
    <w:rsid w:val="00760A56"/>
    <w:rsid w:val="00761F28"/>
    <w:rsid w:val="007623A4"/>
    <w:rsid w:val="0076280E"/>
    <w:rsid w:val="007631E2"/>
    <w:rsid w:val="00763EDB"/>
    <w:rsid w:val="0076426B"/>
    <w:rsid w:val="00764A1D"/>
    <w:rsid w:val="00765182"/>
    <w:rsid w:val="00765F4A"/>
    <w:rsid w:val="007674A0"/>
    <w:rsid w:val="00767CA7"/>
    <w:rsid w:val="007701AE"/>
    <w:rsid w:val="00770598"/>
    <w:rsid w:val="00770FB5"/>
    <w:rsid w:val="00771AE2"/>
    <w:rsid w:val="00771F0A"/>
    <w:rsid w:val="007736FA"/>
    <w:rsid w:val="00773887"/>
    <w:rsid w:val="00773C80"/>
    <w:rsid w:val="0077418A"/>
    <w:rsid w:val="00774A51"/>
    <w:rsid w:val="00774DAE"/>
    <w:rsid w:val="007755F5"/>
    <w:rsid w:val="0077609A"/>
    <w:rsid w:val="007764A0"/>
    <w:rsid w:val="00776519"/>
    <w:rsid w:val="00777999"/>
    <w:rsid w:val="0078020A"/>
    <w:rsid w:val="00780B3D"/>
    <w:rsid w:val="0078115B"/>
    <w:rsid w:val="00782254"/>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06"/>
    <w:rsid w:val="00790A4F"/>
    <w:rsid w:val="00790DBA"/>
    <w:rsid w:val="0079245A"/>
    <w:rsid w:val="00792DC1"/>
    <w:rsid w:val="00792F8F"/>
    <w:rsid w:val="00793A93"/>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23C1"/>
    <w:rsid w:val="007A34CF"/>
    <w:rsid w:val="007A378F"/>
    <w:rsid w:val="007A43AB"/>
    <w:rsid w:val="007A44A9"/>
    <w:rsid w:val="007A47D7"/>
    <w:rsid w:val="007A4D1E"/>
    <w:rsid w:val="007A5A64"/>
    <w:rsid w:val="007A5E2B"/>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38A"/>
    <w:rsid w:val="007C2667"/>
    <w:rsid w:val="007C266F"/>
    <w:rsid w:val="007C2F3D"/>
    <w:rsid w:val="007C4045"/>
    <w:rsid w:val="007C50C6"/>
    <w:rsid w:val="007C510E"/>
    <w:rsid w:val="007C543C"/>
    <w:rsid w:val="007C558F"/>
    <w:rsid w:val="007C5677"/>
    <w:rsid w:val="007C5AA5"/>
    <w:rsid w:val="007C5AA7"/>
    <w:rsid w:val="007C68AF"/>
    <w:rsid w:val="007C6E7A"/>
    <w:rsid w:val="007C7399"/>
    <w:rsid w:val="007C77A9"/>
    <w:rsid w:val="007C77CE"/>
    <w:rsid w:val="007C7836"/>
    <w:rsid w:val="007C7D2A"/>
    <w:rsid w:val="007C7F61"/>
    <w:rsid w:val="007D0490"/>
    <w:rsid w:val="007D04C6"/>
    <w:rsid w:val="007D0B64"/>
    <w:rsid w:val="007D0E4E"/>
    <w:rsid w:val="007D1A5A"/>
    <w:rsid w:val="007D2445"/>
    <w:rsid w:val="007D37CA"/>
    <w:rsid w:val="007D4B9A"/>
    <w:rsid w:val="007D4D0B"/>
    <w:rsid w:val="007D5202"/>
    <w:rsid w:val="007D53B8"/>
    <w:rsid w:val="007D5883"/>
    <w:rsid w:val="007D5993"/>
    <w:rsid w:val="007D5CD1"/>
    <w:rsid w:val="007D6DC4"/>
    <w:rsid w:val="007D6DF9"/>
    <w:rsid w:val="007D7002"/>
    <w:rsid w:val="007D767D"/>
    <w:rsid w:val="007D7B35"/>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642C"/>
    <w:rsid w:val="007F70D1"/>
    <w:rsid w:val="007F74E0"/>
    <w:rsid w:val="007F7B7F"/>
    <w:rsid w:val="007F7D33"/>
    <w:rsid w:val="0080010C"/>
    <w:rsid w:val="008008F0"/>
    <w:rsid w:val="00800D50"/>
    <w:rsid w:val="008012CB"/>
    <w:rsid w:val="00801AF2"/>
    <w:rsid w:val="008020AB"/>
    <w:rsid w:val="00804232"/>
    <w:rsid w:val="00805332"/>
    <w:rsid w:val="00806713"/>
    <w:rsid w:val="00807570"/>
    <w:rsid w:val="00807948"/>
    <w:rsid w:val="00807F82"/>
    <w:rsid w:val="0081035F"/>
    <w:rsid w:val="0081107A"/>
    <w:rsid w:val="008110B3"/>
    <w:rsid w:val="00811142"/>
    <w:rsid w:val="0081189A"/>
    <w:rsid w:val="00811EC0"/>
    <w:rsid w:val="0081223E"/>
    <w:rsid w:val="008125CD"/>
    <w:rsid w:val="00812853"/>
    <w:rsid w:val="00812B53"/>
    <w:rsid w:val="008130DF"/>
    <w:rsid w:val="00813965"/>
    <w:rsid w:val="00813FE4"/>
    <w:rsid w:val="00814182"/>
    <w:rsid w:val="008148F1"/>
    <w:rsid w:val="008153C5"/>
    <w:rsid w:val="008154EC"/>
    <w:rsid w:val="00815744"/>
    <w:rsid w:val="00815962"/>
    <w:rsid w:val="0081765C"/>
    <w:rsid w:val="00817A51"/>
    <w:rsid w:val="008208BE"/>
    <w:rsid w:val="00821376"/>
    <w:rsid w:val="00822544"/>
    <w:rsid w:val="008228E9"/>
    <w:rsid w:val="008236DF"/>
    <w:rsid w:val="00823C1A"/>
    <w:rsid w:val="00823CBE"/>
    <w:rsid w:val="008240DA"/>
    <w:rsid w:val="008250C7"/>
    <w:rsid w:val="0082539E"/>
    <w:rsid w:val="00825F35"/>
    <w:rsid w:val="00825F50"/>
    <w:rsid w:val="008263C4"/>
    <w:rsid w:val="00826E8C"/>
    <w:rsid w:val="00826FB6"/>
    <w:rsid w:val="00830C97"/>
    <w:rsid w:val="00830D06"/>
    <w:rsid w:val="0083109F"/>
    <w:rsid w:val="008312FD"/>
    <w:rsid w:val="00831A2C"/>
    <w:rsid w:val="00831F5E"/>
    <w:rsid w:val="0083257D"/>
    <w:rsid w:val="00832A67"/>
    <w:rsid w:val="008330B0"/>
    <w:rsid w:val="00833476"/>
    <w:rsid w:val="008348B6"/>
    <w:rsid w:val="00834ADD"/>
    <w:rsid w:val="00835884"/>
    <w:rsid w:val="00835C9C"/>
    <w:rsid w:val="00836526"/>
    <w:rsid w:val="008372A1"/>
    <w:rsid w:val="008378F9"/>
    <w:rsid w:val="008400F8"/>
    <w:rsid w:val="00840AFA"/>
    <w:rsid w:val="00841201"/>
    <w:rsid w:val="008412B6"/>
    <w:rsid w:val="00841C98"/>
    <w:rsid w:val="00842146"/>
    <w:rsid w:val="00843D08"/>
    <w:rsid w:val="00844734"/>
    <w:rsid w:val="00845501"/>
    <w:rsid w:val="0084588E"/>
    <w:rsid w:val="00845C3A"/>
    <w:rsid w:val="00845C9C"/>
    <w:rsid w:val="00845D53"/>
    <w:rsid w:val="00845F49"/>
    <w:rsid w:val="008463B8"/>
    <w:rsid w:val="00847571"/>
    <w:rsid w:val="0085000A"/>
    <w:rsid w:val="0085096C"/>
    <w:rsid w:val="00851019"/>
    <w:rsid w:val="008516B9"/>
    <w:rsid w:val="00852D6B"/>
    <w:rsid w:val="00852FFD"/>
    <w:rsid w:val="0085315D"/>
    <w:rsid w:val="008531A3"/>
    <w:rsid w:val="008539FF"/>
    <w:rsid w:val="00854EE0"/>
    <w:rsid w:val="008557E4"/>
    <w:rsid w:val="00855A9F"/>
    <w:rsid w:val="00856970"/>
    <w:rsid w:val="008569E5"/>
    <w:rsid w:val="00856A4E"/>
    <w:rsid w:val="00857576"/>
    <w:rsid w:val="00857AED"/>
    <w:rsid w:val="008604AB"/>
    <w:rsid w:val="00861493"/>
    <w:rsid w:val="00861E79"/>
    <w:rsid w:val="008622D0"/>
    <w:rsid w:val="00862FF8"/>
    <w:rsid w:val="008638AE"/>
    <w:rsid w:val="00864805"/>
    <w:rsid w:val="0086485B"/>
    <w:rsid w:val="00865931"/>
    <w:rsid w:val="00865BF7"/>
    <w:rsid w:val="0086672B"/>
    <w:rsid w:val="00866D88"/>
    <w:rsid w:val="00867B51"/>
    <w:rsid w:val="00867BDE"/>
    <w:rsid w:val="00867DF1"/>
    <w:rsid w:val="0087040C"/>
    <w:rsid w:val="008711C4"/>
    <w:rsid w:val="00871A1A"/>
    <w:rsid w:val="00871C68"/>
    <w:rsid w:val="00872149"/>
    <w:rsid w:val="0087255F"/>
    <w:rsid w:val="008731A3"/>
    <w:rsid w:val="008732B0"/>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2673"/>
    <w:rsid w:val="0089298A"/>
    <w:rsid w:val="0089364B"/>
    <w:rsid w:val="00894FC0"/>
    <w:rsid w:val="0089567D"/>
    <w:rsid w:val="0089583A"/>
    <w:rsid w:val="00895D06"/>
    <w:rsid w:val="00896E41"/>
    <w:rsid w:val="008977D1"/>
    <w:rsid w:val="00897989"/>
    <w:rsid w:val="008A0373"/>
    <w:rsid w:val="008A063D"/>
    <w:rsid w:val="008A0B15"/>
    <w:rsid w:val="008A1B1E"/>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5D3"/>
    <w:rsid w:val="008B5894"/>
    <w:rsid w:val="008B5C1F"/>
    <w:rsid w:val="008B6882"/>
    <w:rsid w:val="008B6C4F"/>
    <w:rsid w:val="008B6E75"/>
    <w:rsid w:val="008B6FE6"/>
    <w:rsid w:val="008B70E6"/>
    <w:rsid w:val="008B721D"/>
    <w:rsid w:val="008B722C"/>
    <w:rsid w:val="008B7298"/>
    <w:rsid w:val="008B7636"/>
    <w:rsid w:val="008C07CF"/>
    <w:rsid w:val="008C0AFA"/>
    <w:rsid w:val="008C0F83"/>
    <w:rsid w:val="008C22B0"/>
    <w:rsid w:val="008C23A0"/>
    <w:rsid w:val="008C2762"/>
    <w:rsid w:val="008C2793"/>
    <w:rsid w:val="008C2F1D"/>
    <w:rsid w:val="008C32E8"/>
    <w:rsid w:val="008C35CA"/>
    <w:rsid w:val="008C3DF8"/>
    <w:rsid w:val="008C47B4"/>
    <w:rsid w:val="008C4CA7"/>
    <w:rsid w:val="008C58D6"/>
    <w:rsid w:val="008C5CB4"/>
    <w:rsid w:val="008C604E"/>
    <w:rsid w:val="008C7087"/>
    <w:rsid w:val="008C714F"/>
    <w:rsid w:val="008C71A0"/>
    <w:rsid w:val="008C7371"/>
    <w:rsid w:val="008C7CE6"/>
    <w:rsid w:val="008D0241"/>
    <w:rsid w:val="008D02BC"/>
    <w:rsid w:val="008D0437"/>
    <w:rsid w:val="008D0619"/>
    <w:rsid w:val="008D10C9"/>
    <w:rsid w:val="008D254E"/>
    <w:rsid w:val="008D28DA"/>
    <w:rsid w:val="008D291F"/>
    <w:rsid w:val="008D29B7"/>
    <w:rsid w:val="008D4980"/>
    <w:rsid w:val="008D5710"/>
    <w:rsid w:val="008D5A0F"/>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408"/>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0B3"/>
    <w:rsid w:val="00910488"/>
    <w:rsid w:val="009104B7"/>
    <w:rsid w:val="009113DD"/>
    <w:rsid w:val="00911A30"/>
    <w:rsid w:val="00911B70"/>
    <w:rsid w:val="00911DA1"/>
    <w:rsid w:val="0091227C"/>
    <w:rsid w:val="00912761"/>
    <w:rsid w:val="0091279F"/>
    <w:rsid w:val="00912E40"/>
    <w:rsid w:val="00913572"/>
    <w:rsid w:val="009135BC"/>
    <w:rsid w:val="00914BD9"/>
    <w:rsid w:val="00915558"/>
    <w:rsid w:val="00916472"/>
    <w:rsid w:val="00920540"/>
    <w:rsid w:val="0092133B"/>
    <w:rsid w:val="00922333"/>
    <w:rsid w:val="009223B1"/>
    <w:rsid w:val="00922AFD"/>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391"/>
    <w:rsid w:val="0093259B"/>
    <w:rsid w:val="009326ED"/>
    <w:rsid w:val="0093270A"/>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463D"/>
    <w:rsid w:val="00946283"/>
    <w:rsid w:val="0094691A"/>
    <w:rsid w:val="009470C3"/>
    <w:rsid w:val="009476E0"/>
    <w:rsid w:val="00947880"/>
    <w:rsid w:val="00947EFE"/>
    <w:rsid w:val="00947FBB"/>
    <w:rsid w:val="009500E3"/>
    <w:rsid w:val="00950691"/>
    <w:rsid w:val="009509A5"/>
    <w:rsid w:val="00950C05"/>
    <w:rsid w:val="00950CB1"/>
    <w:rsid w:val="009517D3"/>
    <w:rsid w:val="00951969"/>
    <w:rsid w:val="00951A89"/>
    <w:rsid w:val="00951B8F"/>
    <w:rsid w:val="00951D81"/>
    <w:rsid w:val="00953577"/>
    <w:rsid w:val="009538F3"/>
    <w:rsid w:val="00953E80"/>
    <w:rsid w:val="009543FF"/>
    <w:rsid w:val="009546E4"/>
    <w:rsid w:val="0095494F"/>
    <w:rsid w:val="009558D3"/>
    <w:rsid w:val="00955C91"/>
    <w:rsid w:val="009565C0"/>
    <w:rsid w:val="00956FDF"/>
    <w:rsid w:val="00957003"/>
    <w:rsid w:val="0095724F"/>
    <w:rsid w:val="00960023"/>
    <w:rsid w:val="00960507"/>
    <w:rsid w:val="00960C14"/>
    <w:rsid w:val="00961324"/>
    <w:rsid w:val="009614F7"/>
    <w:rsid w:val="0096206F"/>
    <w:rsid w:val="00962E88"/>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2B"/>
    <w:rsid w:val="00972CD8"/>
    <w:rsid w:val="00972E7F"/>
    <w:rsid w:val="00972EB8"/>
    <w:rsid w:val="00973231"/>
    <w:rsid w:val="009734E2"/>
    <w:rsid w:val="00973911"/>
    <w:rsid w:val="00973B0E"/>
    <w:rsid w:val="00973FAE"/>
    <w:rsid w:val="00974C30"/>
    <w:rsid w:val="00974D47"/>
    <w:rsid w:val="00975F1A"/>
    <w:rsid w:val="009765CD"/>
    <w:rsid w:val="00976D59"/>
    <w:rsid w:val="00977C8E"/>
    <w:rsid w:val="00980A3E"/>
    <w:rsid w:val="009811BE"/>
    <w:rsid w:val="0098146E"/>
    <w:rsid w:val="0098164C"/>
    <w:rsid w:val="00981D2F"/>
    <w:rsid w:val="009825DD"/>
    <w:rsid w:val="00982D6B"/>
    <w:rsid w:val="00985613"/>
    <w:rsid w:val="00987892"/>
    <w:rsid w:val="009900E5"/>
    <w:rsid w:val="0099040B"/>
    <w:rsid w:val="0099098D"/>
    <w:rsid w:val="00990E42"/>
    <w:rsid w:val="00992395"/>
    <w:rsid w:val="0099245C"/>
    <w:rsid w:val="0099256B"/>
    <w:rsid w:val="00992699"/>
    <w:rsid w:val="00992EF0"/>
    <w:rsid w:val="0099325F"/>
    <w:rsid w:val="00993C87"/>
    <w:rsid w:val="00993CAD"/>
    <w:rsid w:val="00994644"/>
    <w:rsid w:val="009956CA"/>
    <w:rsid w:val="00996821"/>
    <w:rsid w:val="00997219"/>
    <w:rsid w:val="0099737B"/>
    <w:rsid w:val="00997C79"/>
    <w:rsid w:val="009A1C0C"/>
    <w:rsid w:val="009A3048"/>
    <w:rsid w:val="009A3206"/>
    <w:rsid w:val="009A3418"/>
    <w:rsid w:val="009A3946"/>
    <w:rsid w:val="009A53BD"/>
    <w:rsid w:val="009A6671"/>
    <w:rsid w:val="009A7087"/>
    <w:rsid w:val="009A7226"/>
    <w:rsid w:val="009A76E5"/>
    <w:rsid w:val="009A79F7"/>
    <w:rsid w:val="009A7BD9"/>
    <w:rsid w:val="009A7D4B"/>
    <w:rsid w:val="009B02BC"/>
    <w:rsid w:val="009B16CD"/>
    <w:rsid w:val="009B1AB2"/>
    <w:rsid w:val="009B1FC6"/>
    <w:rsid w:val="009B2370"/>
    <w:rsid w:val="009B30E3"/>
    <w:rsid w:val="009B3799"/>
    <w:rsid w:val="009B3952"/>
    <w:rsid w:val="009B40D6"/>
    <w:rsid w:val="009B4574"/>
    <w:rsid w:val="009B4AD5"/>
    <w:rsid w:val="009B5581"/>
    <w:rsid w:val="009B5E59"/>
    <w:rsid w:val="009B65D0"/>
    <w:rsid w:val="009B67FE"/>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6FC4"/>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47"/>
    <w:rsid w:val="009E4360"/>
    <w:rsid w:val="009E4BB6"/>
    <w:rsid w:val="009E4EED"/>
    <w:rsid w:val="009E5664"/>
    <w:rsid w:val="009E5A01"/>
    <w:rsid w:val="009E61C4"/>
    <w:rsid w:val="009E6825"/>
    <w:rsid w:val="009E689A"/>
    <w:rsid w:val="009E6FF7"/>
    <w:rsid w:val="009F0C05"/>
    <w:rsid w:val="009F1A4A"/>
    <w:rsid w:val="009F2014"/>
    <w:rsid w:val="009F2A31"/>
    <w:rsid w:val="009F2B21"/>
    <w:rsid w:val="009F31C5"/>
    <w:rsid w:val="009F3433"/>
    <w:rsid w:val="009F418C"/>
    <w:rsid w:val="009F4294"/>
    <w:rsid w:val="009F4689"/>
    <w:rsid w:val="009F497D"/>
    <w:rsid w:val="009F5171"/>
    <w:rsid w:val="009F58EB"/>
    <w:rsid w:val="009F5D78"/>
    <w:rsid w:val="009F68CB"/>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3F3"/>
    <w:rsid w:val="00A11A16"/>
    <w:rsid w:val="00A13660"/>
    <w:rsid w:val="00A1418C"/>
    <w:rsid w:val="00A14560"/>
    <w:rsid w:val="00A14A2C"/>
    <w:rsid w:val="00A157BF"/>
    <w:rsid w:val="00A15EED"/>
    <w:rsid w:val="00A16556"/>
    <w:rsid w:val="00A17287"/>
    <w:rsid w:val="00A172F0"/>
    <w:rsid w:val="00A20075"/>
    <w:rsid w:val="00A2037F"/>
    <w:rsid w:val="00A209FA"/>
    <w:rsid w:val="00A21DF4"/>
    <w:rsid w:val="00A221E5"/>
    <w:rsid w:val="00A23863"/>
    <w:rsid w:val="00A23D99"/>
    <w:rsid w:val="00A248B3"/>
    <w:rsid w:val="00A250B9"/>
    <w:rsid w:val="00A257B4"/>
    <w:rsid w:val="00A25839"/>
    <w:rsid w:val="00A25E47"/>
    <w:rsid w:val="00A25EB8"/>
    <w:rsid w:val="00A26330"/>
    <w:rsid w:val="00A26D35"/>
    <w:rsid w:val="00A30369"/>
    <w:rsid w:val="00A3097D"/>
    <w:rsid w:val="00A31535"/>
    <w:rsid w:val="00A31A1C"/>
    <w:rsid w:val="00A32B1F"/>
    <w:rsid w:val="00A33ACA"/>
    <w:rsid w:val="00A33ADD"/>
    <w:rsid w:val="00A33BBD"/>
    <w:rsid w:val="00A33F89"/>
    <w:rsid w:val="00A344CA"/>
    <w:rsid w:val="00A358C7"/>
    <w:rsid w:val="00A36B8D"/>
    <w:rsid w:val="00A372F9"/>
    <w:rsid w:val="00A37703"/>
    <w:rsid w:val="00A37EAF"/>
    <w:rsid w:val="00A37FAC"/>
    <w:rsid w:val="00A40574"/>
    <w:rsid w:val="00A40A52"/>
    <w:rsid w:val="00A40EE9"/>
    <w:rsid w:val="00A4116A"/>
    <w:rsid w:val="00A42475"/>
    <w:rsid w:val="00A4276E"/>
    <w:rsid w:val="00A42B7A"/>
    <w:rsid w:val="00A42E65"/>
    <w:rsid w:val="00A43330"/>
    <w:rsid w:val="00A4376E"/>
    <w:rsid w:val="00A43C92"/>
    <w:rsid w:val="00A43DA8"/>
    <w:rsid w:val="00A43FA8"/>
    <w:rsid w:val="00A44310"/>
    <w:rsid w:val="00A44FCA"/>
    <w:rsid w:val="00A456AE"/>
    <w:rsid w:val="00A45765"/>
    <w:rsid w:val="00A4606E"/>
    <w:rsid w:val="00A46122"/>
    <w:rsid w:val="00A46731"/>
    <w:rsid w:val="00A469F3"/>
    <w:rsid w:val="00A46D5F"/>
    <w:rsid w:val="00A4701C"/>
    <w:rsid w:val="00A476CD"/>
    <w:rsid w:val="00A47D45"/>
    <w:rsid w:val="00A50023"/>
    <w:rsid w:val="00A5062F"/>
    <w:rsid w:val="00A50DB0"/>
    <w:rsid w:val="00A51C1C"/>
    <w:rsid w:val="00A51D2D"/>
    <w:rsid w:val="00A5206E"/>
    <w:rsid w:val="00A5274B"/>
    <w:rsid w:val="00A52860"/>
    <w:rsid w:val="00A52E01"/>
    <w:rsid w:val="00A5328D"/>
    <w:rsid w:val="00A53CFC"/>
    <w:rsid w:val="00A54712"/>
    <w:rsid w:val="00A55287"/>
    <w:rsid w:val="00A563AA"/>
    <w:rsid w:val="00A5640C"/>
    <w:rsid w:val="00A57054"/>
    <w:rsid w:val="00A601D3"/>
    <w:rsid w:val="00A6022A"/>
    <w:rsid w:val="00A607CB"/>
    <w:rsid w:val="00A609A4"/>
    <w:rsid w:val="00A6159F"/>
    <w:rsid w:val="00A61F49"/>
    <w:rsid w:val="00A621E2"/>
    <w:rsid w:val="00A62394"/>
    <w:rsid w:val="00A62616"/>
    <w:rsid w:val="00A627AF"/>
    <w:rsid w:val="00A62CEB"/>
    <w:rsid w:val="00A63567"/>
    <w:rsid w:val="00A6432B"/>
    <w:rsid w:val="00A64425"/>
    <w:rsid w:val="00A6459F"/>
    <w:rsid w:val="00A653ED"/>
    <w:rsid w:val="00A66587"/>
    <w:rsid w:val="00A672C2"/>
    <w:rsid w:val="00A677DB"/>
    <w:rsid w:val="00A6784E"/>
    <w:rsid w:val="00A7025C"/>
    <w:rsid w:val="00A7088E"/>
    <w:rsid w:val="00A715D2"/>
    <w:rsid w:val="00A7164E"/>
    <w:rsid w:val="00A72630"/>
    <w:rsid w:val="00A729ED"/>
    <w:rsid w:val="00A72AA8"/>
    <w:rsid w:val="00A72C82"/>
    <w:rsid w:val="00A73979"/>
    <w:rsid w:val="00A74001"/>
    <w:rsid w:val="00A749B2"/>
    <w:rsid w:val="00A75B96"/>
    <w:rsid w:val="00A75E8F"/>
    <w:rsid w:val="00A763F1"/>
    <w:rsid w:val="00A764DE"/>
    <w:rsid w:val="00A7746B"/>
    <w:rsid w:val="00A77512"/>
    <w:rsid w:val="00A81512"/>
    <w:rsid w:val="00A81894"/>
    <w:rsid w:val="00A81A40"/>
    <w:rsid w:val="00A82205"/>
    <w:rsid w:val="00A827F7"/>
    <w:rsid w:val="00A83666"/>
    <w:rsid w:val="00A84491"/>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672"/>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8D"/>
    <w:rsid w:val="00AA2DC2"/>
    <w:rsid w:val="00AA36D3"/>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4CB9"/>
    <w:rsid w:val="00AB504A"/>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0FC"/>
    <w:rsid w:val="00AC57CD"/>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608"/>
    <w:rsid w:val="00AD3717"/>
    <w:rsid w:val="00AD3D42"/>
    <w:rsid w:val="00AD3D90"/>
    <w:rsid w:val="00AD4293"/>
    <w:rsid w:val="00AD588F"/>
    <w:rsid w:val="00AD6661"/>
    <w:rsid w:val="00AD67FB"/>
    <w:rsid w:val="00AE0005"/>
    <w:rsid w:val="00AE01B8"/>
    <w:rsid w:val="00AE0488"/>
    <w:rsid w:val="00AE0BAC"/>
    <w:rsid w:val="00AE0EFC"/>
    <w:rsid w:val="00AE16E3"/>
    <w:rsid w:val="00AE19AD"/>
    <w:rsid w:val="00AE1A4E"/>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9C0"/>
    <w:rsid w:val="00AE5B84"/>
    <w:rsid w:val="00AE5DDF"/>
    <w:rsid w:val="00AE6AB0"/>
    <w:rsid w:val="00AE6C24"/>
    <w:rsid w:val="00AE7A4D"/>
    <w:rsid w:val="00AF08A3"/>
    <w:rsid w:val="00AF098E"/>
    <w:rsid w:val="00AF18FA"/>
    <w:rsid w:val="00AF2207"/>
    <w:rsid w:val="00AF27C4"/>
    <w:rsid w:val="00AF3383"/>
    <w:rsid w:val="00AF344D"/>
    <w:rsid w:val="00AF415F"/>
    <w:rsid w:val="00AF5077"/>
    <w:rsid w:val="00AF5840"/>
    <w:rsid w:val="00AF5A44"/>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45C"/>
    <w:rsid w:val="00B01923"/>
    <w:rsid w:val="00B020D9"/>
    <w:rsid w:val="00B02670"/>
    <w:rsid w:val="00B02D72"/>
    <w:rsid w:val="00B02FA3"/>
    <w:rsid w:val="00B03E19"/>
    <w:rsid w:val="00B03EB0"/>
    <w:rsid w:val="00B06042"/>
    <w:rsid w:val="00B075C7"/>
    <w:rsid w:val="00B079F2"/>
    <w:rsid w:val="00B10284"/>
    <w:rsid w:val="00B103E2"/>
    <w:rsid w:val="00B10624"/>
    <w:rsid w:val="00B10B25"/>
    <w:rsid w:val="00B10CFE"/>
    <w:rsid w:val="00B11343"/>
    <w:rsid w:val="00B11AFA"/>
    <w:rsid w:val="00B121F9"/>
    <w:rsid w:val="00B12DF9"/>
    <w:rsid w:val="00B12E8F"/>
    <w:rsid w:val="00B12FF1"/>
    <w:rsid w:val="00B1378E"/>
    <w:rsid w:val="00B1400D"/>
    <w:rsid w:val="00B141C1"/>
    <w:rsid w:val="00B144B6"/>
    <w:rsid w:val="00B15017"/>
    <w:rsid w:val="00B1574D"/>
    <w:rsid w:val="00B15778"/>
    <w:rsid w:val="00B15E0C"/>
    <w:rsid w:val="00B15FD7"/>
    <w:rsid w:val="00B161ED"/>
    <w:rsid w:val="00B16811"/>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CA6"/>
    <w:rsid w:val="00B24DB6"/>
    <w:rsid w:val="00B259FE"/>
    <w:rsid w:val="00B262F3"/>
    <w:rsid w:val="00B2652E"/>
    <w:rsid w:val="00B276A9"/>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5AC0"/>
    <w:rsid w:val="00B406C9"/>
    <w:rsid w:val="00B4194B"/>
    <w:rsid w:val="00B41A65"/>
    <w:rsid w:val="00B41F46"/>
    <w:rsid w:val="00B4308C"/>
    <w:rsid w:val="00B4372D"/>
    <w:rsid w:val="00B43FAE"/>
    <w:rsid w:val="00B4403C"/>
    <w:rsid w:val="00B4481E"/>
    <w:rsid w:val="00B44F14"/>
    <w:rsid w:val="00B45101"/>
    <w:rsid w:val="00B4583E"/>
    <w:rsid w:val="00B45BA2"/>
    <w:rsid w:val="00B45D8D"/>
    <w:rsid w:val="00B46133"/>
    <w:rsid w:val="00B46B3A"/>
    <w:rsid w:val="00B47656"/>
    <w:rsid w:val="00B47CCD"/>
    <w:rsid w:val="00B507E3"/>
    <w:rsid w:val="00B50F86"/>
    <w:rsid w:val="00B51743"/>
    <w:rsid w:val="00B51BFB"/>
    <w:rsid w:val="00B52A80"/>
    <w:rsid w:val="00B53973"/>
    <w:rsid w:val="00B54907"/>
    <w:rsid w:val="00B5564E"/>
    <w:rsid w:val="00B55665"/>
    <w:rsid w:val="00B557D1"/>
    <w:rsid w:val="00B55B62"/>
    <w:rsid w:val="00B56902"/>
    <w:rsid w:val="00B56A87"/>
    <w:rsid w:val="00B56BC5"/>
    <w:rsid w:val="00B5784D"/>
    <w:rsid w:val="00B57943"/>
    <w:rsid w:val="00B57A5F"/>
    <w:rsid w:val="00B6027A"/>
    <w:rsid w:val="00B60A69"/>
    <w:rsid w:val="00B611D9"/>
    <w:rsid w:val="00B61746"/>
    <w:rsid w:val="00B61D83"/>
    <w:rsid w:val="00B62714"/>
    <w:rsid w:val="00B628FC"/>
    <w:rsid w:val="00B62F2E"/>
    <w:rsid w:val="00B639C3"/>
    <w:rsid w:val="00B642B3"/>
    <w:rsid w:val="00B647DA"/>
    <w:rsid w:val="00B64AD3"/>
    <w:rsid w:val="00B650E9"/>
    <w:rsid w:val="00B655FB"/>
    <w:rsid w:val="00B6579F"/>
    <w:rsid w:val="00B65B80"/>
    <w:rsid w:val="00B663E9"/>
    <w:rsid w:val="00B66A6F"/>
    <w:rsid w:val="00B66BCD"/>
    <w:rsid w:val="00B66D2E"/>
    <w:rsid w:val="00B673B5"/>
    <w:rsid w:val="00B67D72"/>
    <w:rsid w:val="00B70C1F"/>
    <w:rsid w:val="00B711EE"/>
    <w:rsid w:val="00B714E0"/>
    <w:rsid w:val="00B715DC"/>
    <w:rsid w:val="00B717FA"/>
    <w:rsid w:val="00B71EA3"/>
    <w:rsid w:val="00B72980"/>
    <w:rsid w:val="00B73CDD"/>
    <w:rsid w:val="00B74271"/>
    <w:rsid w:val="00B74ABC"/>
    <w:rsid w:val="00B74CF8"/>
    <w:rsid w:val="00B74FC8"/>
    <w:rsid w:val="00B752E5"/>
    <w:rsid w:val="00B755ED"/>
    <w:rsid w:val="00B75D59"/>
    <w:rsid w:val="00B771C4"/>
    <w:rsid w:val="00B7721A"/>
    <w:rsid w:val="00B804C2"/>
    <w:rsid w:val="00B80BBE"/>
    <w:rsid w:val="00B80CF5"/>
    <w:rsid w:val="00B810D2"/>
    <w:rsid w:val="00B81FE4"/>
    <w:rsid w:val="00B82A60"/>
    <w:rsid w:val="00B833E3"/>
    <w:rsid w:val="00B84CB5"/>
    <w:rsid w:val="00B84E9D"/>
    <w:rsid w:val="00B85067"/>
    <w:rsid w:val="00B859E8"/>
    <w:rsid w:val="00B85B9C"/>
    <w:rsid w:val="00B86608"/>
    <w:rsid w:val="00B86752"/>
    <w:rsid w:val="00B86B53"/>
    <w:rsid w:val="00B87F1E"/>
    <w:rsid w:val="00B901AC"/>
    <w:rsid w:val="00B9044A"/>
    <w:rsid w:val="00B906C2"/>
    <w:rsid w:val="00B907B5"/>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4B7"/>
    <w:rsid w:val="00BA353A"/>
    <w:rsid w:val="00BA3975"/>
    <w:rsid w:val="00BA39FD"/>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4A76"/>
    <w:rsid w:val="00BB54F4"/>
    <w:rsid w:val="00BB55AF"/>
    <w:rsid w:val="00BB621C"/>
    <w:rsid w:val="00BB67CA"/>
    <w:rsid w:val="00BB6A62"/>
    <w:rsid w:val="00BB6EE3"/>
    <w:rsid w:val="00BB7C6F"/>
    <w:rsid w:val="00BC0225"/>
    <w:rsid w:val="00BC05A1"/>
    <w:rsid w:val="00BC1646"/>
    <w:rsid w:val="00BC19D3"/>
    <w:rsid w:val="00BC1FF1"/>
    <w:rsid w:val="00BC2505"/>
    <w:rsid w:val="00BC2FEB"/>
    <w:rsid w:val="00BC3654"/>
    <w:rsid w:val="00BC3C12"/>
    <w:rsid w:val="00BC3E5A"/>
    <w:rsid w:val="00BC4C26"/>
    <w:rsid w:val="00BC58CD"/>
    <w:rsid w:val="00BC5D85"/>
    <w:rsid w:val="00BC6D32"/>
    <w:rsid w:val="00BC7369"/>
    <w:rsid w:val="00BC76E5"/>
    <w:rsid w:val="00BC77ED"/>
    <w:rsid w:val="00BD0144"/>
    <w:rsid w:val="00BD0B54"/>
    <w:rsid w:val="00BD0B95"/>
    <w:rsid w:val="00BD1229"/>
    <w:rsid w:val="00BD1AC7"/>
    <w:rsid w:val="00BD1E25"/>
    <w:rsid w:val="00BD2190"/>
    <w:rsid w:val="00BD2C60"/>
    <w:rsid w:val="00BD305A"/>
    <w:rsid w:val="00BD38C6"/>
    <w:rsid w:val="00BD4070"/>
    <w:rsid w:val="00BD48CA"/>
    <w:rsid w:val="00BD5829"/>
    <w:rsid w:val="00BD5F83"/>
    <w:rsid w:val="00BD65D7"/>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792"/>
    <w:rsid w:val="00BF5831"/>
    <w:rsid w:val="00BF618B"/>
    <w:rsid w:val="00BF6500"/>
    <w:rsid w:val="00BF7180"/>
    <w:rsid w:val="00C00389"/>
    <w:rsid w:val="00C01CC2"/>
    <w:rsid w:val="00C0215D"/>
    <w:rsid w:val="00C0268C"/>
    <w:rsid w:val="00C028FB"/>
    <w:rsid w:val="00C02FB7"/>
    <w:rsid w:val="00C042FB"/>
    <w:rsid w:val="00C04E75"/>
    <w:rsid w:val="00C05310"/>
    <w:rsid w:val="00C056A5"/>
    <w:rsid w:val="00C05EF6"/>
    <w:rsid w:val="00C0658C"/>
    <w:rsid w:val="00C06981"/>
    <w:rsid w:val="00C06DE8"/>
    <w:rsid w:val="00C07FE1"/>
    <w:rsid w:val="00C10226"/>
    <w:rsid w:val="00C106B2"/>
    <w:rsid w:val="00C118D3"/>
    <w:rsid w:val="00C11D46"/>
    <w:rsid w:val="00C11E9B"/>
    <w:rsid w:val="00C122DF"/>
    <w:rsid w:val="00C12882"/>
    <w:rsid w:val="00C129CF"/>
    <w:rsid w:val="00C12A71"/>
    <w:rsid w:val="00C1321D"/>
    <w:rsid w:val="00C1322F"/>
    <w:rsid w:val="00C1393F"/>
    <w:rsid w:val="00C13987"/>
    <w:rsid w:val="00C13ECC"/>
    <w:rsid w:val="00C149DB"/>
    <w:rsid w:val="00C15196"/>
    <w:rsid w:val="00C17244"/>
    <w:rsid w:val="00C179AC"/>
    <w:rsid w:val="00C20934"/>
    <w:rsid w:val="00C2151E"/>
    <w:rsid w:val="00C21BCC"/>
    <w:rsid w:val="00C22C34"/>
    <w:rsid w:val="00C238B2"/>
    <w:rsid w:val="00C23BBA"/>
    <w:rsid w:val="00C242D4"/>
    <w:rsid w:val="00C2440D"/>
    <w:rsid w:val="00C24616"/>
    <w:rsid w:val="00C2556C"/>
    <w:rsid w:val="00C25708"/>
    <w:rsid w:val="00C269C8"/>
    <w:rsid w:val="00C2779F"/>
    <w:rsid w:val="00C2786D"/>
    <w:rsid w:val="00C31230"/>
    <w:rsid w:val="00C326A1"/>
    <w:rsid w:val="00C32AB0"/>
    <w:rsid w:val="00C32D03"/>
    <w:rsid w:val="00C32DCE"/>
    <w:rsid w:val="00C3304B"/>
    <w:rsid w:val="00C333ED"/>
    <w:rsid w:val="00C34B71"/>
    <w:rsid w:val="00C35049"/>
    <w:rsid w:val="00C3631B"/>
    <w:rsid w:val="00C3674B"/>
    <w:rsid w:val="00C3678C"/>
    <w:rsid w:val="00C36F41"/>
    <w:rsid w:val="00C37197"/>
    <w:rsid w:val="00C371AD"/>
    <w:rsid w:val="00C3734D"/>
    <w:rsid w:val="00C378CA"/>
    <w:rsid w:val="00C401E7"/>
    <w:rsid w:val="00C412D1"/>
    <w:rsid w:val="00C41635"/>
    <w:rsid w:val="00C4194E"/>
    <w:rsid w:val="00C419E7"/>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165"/>
    <w:rsid w:val="00C50288"/>
    <w:rsid w:val="00C50421"/>
    <w:rsid w:val="00C5047E"/>
    <w:rsid w:val="00C5076B"/>
    <w:rsid w:val="00C507E6"/>
    <w:rsid w:val="00C50D96"/>
    <w:rsid w:val="00C517CC"/>
    <w:rsid w:val="00C518F7"/>
    <w:rsid w:val="00C52087"/>
    <w:rsid w:val="00C52DA4"/>
    <w:rsid w:val="00C5389A"/>
    <w:rsid w:val="00C53A7B"/>
    <w:rsid w:val="00C5518A"/>
    <w:rsid w:val="00C5547A"/>
    <w:rsid w:val="00C5598B"/>
    <w:rsid w:val="00C55EA7"/>
    <w:rsid w:val="00C55F9B"/>
    <w:rsid w:val="00C5602E"/>
    <w:rsid w:val="00C601E9"/>
    <w:rsid w:val="00C6084C"/>
    <w:rsid w:val="00C61814"/>
    <w:rsid w:val="00C61BA4"/>
    <w:rsid w:val="00C61DF8"/>
    <w:rsid w:val="00C62559"/>
    <w:rsid w:val="00C629E4"/>
    <w:rsid w:val="00C62AB5"/>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47AB"/>
    <w:rsid w:val="00C7540F"/>
    <w:rsid w:val="00C75786"/>
    <w:rsid w:val="00C75B3A"/>
    <w:rsid w:val="00C75EB6"/>
    <w:rsid w:val="00C75F1A"/>
    <w:rsid w:val="00C76160"/>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2F57"/>
    <w:rsid w:val="00CA33BC"/>
    <w:rsid w:val="00CA352B"/>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2D6F"/>
    <w:rsid w:val="00CB31A0"/>
    <w:rsid w:val="00CB36BF"/>
    <w:rsid w:val="00CB37D6"/>
    <w:rsid w:val="00CB3B28"/>
    <w:rsid w:val="00CB3D49"/>
    <w:rsid w:val="00CB4BF0"/>
    <w:rsid w:val="00CB5748"/>
    <w:rsid w:val="00CB5BDE"/>
    <w:rsid w:val="00CB5CD0"/>
    <w:rsid w:val="00CB6540"/>
    <w:rsid w:val="00CB7796"/>
    <w:rsid w:val="00CC0893"/>
    <w:rsid w:val="00CC0EC0"/>
    <w:rsid w:val="00CC11AC"/>
    <w:rsid w:val="00CC1B8A"/>
    <w:rsid w:val="00CC227E"/>
    <w:rsid w:val="00CC2385"/>
    <w:rsid w:val="00CC2CFF"/>
    <w:rsid w:val="00CC2E53"/>
    <w:rsid w:val="00CC3058"/>
    <w:rsid w:val="00CC3E73"/>
    <w:rsid w:val="00CC483F"/>
    <w:rsid w:val="00CC69CB"/>
    <w:rsid w:val="00CC7886"/>
    <w:rsid w:val="00CC7BED"/>
    <w:rsid w:val="00CC7EA5"/>
    <w:rsid w:val="00CC7FAA"/>
    <w:rsid w:val="00CD047E"/>
    <w:rsid w:val="00CD05CC"/>
    <w:rsid w:val="00CD0EB2"/>
    <w:rsid w:val="00CD14BC"/>
    <w:rsid w:val="00CD2407"/>
    <w:rsid w:val="00CD2751"/>
    <w:rsid w:val="00CD27FA"/>
    <w:rsid w:val="00CD290B"/>
    <w:rsid w:val="00CD30F5"/>
    <w:rsid w:val="00CD35BF"/>
    <w:rsid w:val="00CD3A11"/>
    <w:rsid w:val="00CD3DDC"/>
    <w:rsid w:val="00CD497F"/>
    <w:rsid w:val="00CD4F86"/>
    <w:rsid w:val="00CD50F3"/>
    <w:rsid w:val="00CD5194"/>
    <w:rsid w:val="00CD51A5"/>
    <w:rsid w:val="00CD5662"/>
    <w:rsid w:val="00CD7006"/>
    <w:rsid w:val="00CD7078"/>
    <w:rsid w:val="00CD726E"/>
    <w:rsid w:val="00CD760D"/>
    <w:rsid w:val="00CD7615"/>
    <w:rsid w:val="00CD7897"/>
    <w:rsid w:val="00CD7EA8"/>
    <w:rsid w:val="00CE0483"/>
    <w:rsid w:val="00CE0625"/>
    <w:rsid w:val="00CE0731"/>
    <w:rsid w:val="00CE1540"/>
    <w:rsid w:val="00CE1875"/>
    <w:rsid w:val="00CE1C76"/>
    <w:rsid w:val="00CE2327"/>
    <w:rsid w:val="00CE3331"/>
    <w:rsid w:val="00CE366D"/>
    <w:rsid w:val="00CE4343"/>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539"/>
    <w:rsid w:val="00D009E7"/>
    <w:rsid w:val="00D00AE4"/>
    <w:rsid w:val="00D00B03"/>
    <w:rsid w:val="00D00DD6"/>
    <w:rsid w:val="00D01312"/>
    <w:rsid w:val="00D018AC"/>
    <w:rsid w:val="00D02DA9"/>
    <w:rsid w:val="00D02F4E"/>
    <w:rsid w:val="00D0371E"/>
    <w:rsid w:val="00D03867"/>
    <w:rsid w:val="00D03925"/>
    <w:rsid w:val="00D040EB"/>
    <w:rsid w:val="00D04FA9"/>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85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A65"/>
    <w:rsid w:val="00D32FDF"/>
    <w:rsid w:val="00D33B2D"/>
    <w:rsid w:val="00D33E44"/>
    <w:rsid w:val="00D35D2D"/>
    <w:rsid w:val="00D407B6"/>
    <w:rsid w:val="00D41440"/>
    <w:rsid w:val="00D41F00"/>
    <w:rsid w:val="00D42281"/>
    <w:rsid w:val="00D4288D"/>
    <w:rsid w:val="00D431BC"/>
    <w:rsid w:val="00D43665"/>
    <w:rsid w:val="00D441BA"/>
    <w:rsid w:val="00D44ABA"/>
    <w:rsid w:val="00D44E0B"/>
    <w:rsid w:val="00D454F5"/>
    <w:rsid w:val="00D4575D"/>
    <w:rsid w:val="00D4613D"/>
    <w:rsid w:val="00D47998"/>
    <w:rsid w:val="00D47A20"/>
    <w:rsid w:val="00D47F63"/>
    <w:rsid w:val="00D50791"/>
    <w:rsid w:val="00D52005"/>
    <w:rsid w:val="00D52A40"/>
    <w:rsid w:val="00D52BFA"/>
    <w:rsid w:val="00D53689"/>
    <w:rsid w:val="00D53C40"/>
    <w:rsid w:val="00D53E23"/>
    <w:rsid w:val="00D542BA"/>
    <w:rsid w:val="00D548C6"/>
    <w:rsid w:val="00D54D27"/>
    <w:rsid w:val="00D55A8A"/>
    <w:rsid w:val="00D55C74"/>
    <w:rsid w:val="00D55D82"/>
    <w:rsid w:val="00D55EF2"/>
    <w:rsid w:val="00D561EA"/>
    <w:rsid w:val="00D56516"/>
    <w:rsid w:val="00D56595"/>
    <w:rsid w:val="00D6049E"/>
    <w:rsid w:val="00D60E58"/>
    <w:rsid w:val="00D61F79"/>
    <w:rsid w:val="00D622AC"/>
    <w:rsid w:val="00D62A2C"/>
    <w:rsid w:val="00D633F4"/>
    <w:rsid w:val="00D64735"/>
    <w:rsid w:val="00D64E25"/>
    <w:rsid w:val="00D65A6B"/>
    <w:rsid w:val="00D66AC7"/>
    <w:rsid w:val="00D67CDC"/>
    <w:rsid w:val="00D7107B"/>
    <w:rsid w:val="00D71283"/>
    <w:rsid w:val="00D71928"/>
    <w:rsid w:val="00D71C62"/>
    <w:rsid w:val="00D720B3"/>
    <w:rsid w:val="00D72875"/>
    <w:rsid w:val="00D72D1B"/>
    <w:rsid w:val="00D73BF4"/>
    <w:rsid w:val="00D73EAA"/>
    <w:rsid w:val="00D752C5"/>
    <w:rsid w:val="00D7562C"/>
    <w:rsid w:val="00D756F9"/>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D5C"/>
    <w:rsid w:val="00D92E2D"/>
    <w:rsid w:val="00D934C0"/>
    <w:rsid w:val="00D9371F"/>
    <w:rsid w:val="00D95825"/>
    <w:rsid w:val="00D95A10"/>
    <w:rsid w:val="00D96C5D"/>
    <w:rsid w:val="00D97B77"/>
    <w:rsid w:val="00D97E12"/>
    <w:rsid w:val="00DA00D4"/>
    <w:rsid w:val="00DA0F5E"/>
    <w:rsid w:val="00DA137C"/>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317C"/>
    <w:rsid w:val="00DB3B89"/>
    <w:rsid w:val="00DB3D2C"/>
    <w:rsid w:val="00DB4097"/>
    <w:rsid w:val="00DB464F"/>
    <w:rsid w:val="00DB4B34"/>
    <w:rsid w:val="00DB4EBF"/>
    <w:rsid w:val="00DB50D1"/>
    <w:rsid w:val="00DB54B6"/>
    <w:rsid w:val="00DB55A5"/>
    <w:rsid w:val="00DB5698"/>
    <w:rsid w:val="00DB5E55"/>
    <w:rsid w:val="00DC000E"/>
    <w:rsid w:val="00DC003B"/>
    <w:rsid w:val="00DC0211"/>
    <w:rsid w:val="00DC036A"/>
    <w:rsid w:val="00DC095E"/>
    <w:rsid w:val="00DC0F21"/>
    <w:rsid w:val="00DC1426"/>
    <w:rsid w:val="00DC1850"/>
    <w:rsid w:val="00DC3B3F"/>
    <w:rsid w:val="00DC3D31"/>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D7F3F"/>
    <w:rsid w:val="00DE08FA"/>
    <w:rsid w:val="00DE1B4E"/>
    <w:rsid w:val="00DE1B92"/>
    <w:rsid w:val="00DE1C02"/>
    <w:rsid w:val="00DE239D"/>
    <w:rsid w:val="00DE2CCD"/>
    <w:rsid w:val="00DE30E9"/>
    <w:rsid w:val="00DE3490"/>
    <w:rsid w:val="00DE37E2"/>
    <w:rsid w:val="00DE3835"/>
    <w:rsid w:val="00DE38D2"/>
    <w:rsid w:val="00DE414D"/>
    <w:rsid w:val="00DE54EA"/>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54B5"/>
    <w:rsid w:val="00DF63E7"/>
    <w:rsid w:val="00DF7128"/>
    <w:rsid w:val="00DF72B4"/>
    <w:rsid w:val="00DF72E3"/>
    <w:rsid w:val="00DF7CAA"/>
    <w:rsid w:val="00E005E1"/>
    <w:rsid w:val="00E00988"/>
    <w:rsid w:val="00E01A25"/>
    <w:rsid w:val="00E034DE"/>
    <w:rsid w:val="00E035E1"/>
    <w:rsid w:val="00E03D18"/>
    <w:rsid w:val="00E04853"/>
    <w:rsid w:val="00E04A31"/>
    <w:rsid w:val="00E050CC"/>
    <w:rsid w:val="00E05E09"/>
    <w:rsid w:val="00E05E1B"/>
    <w:rsid w:val="00E061E6"/>
    <w:rsid w:val="00E075CA"/>
    <w:rsid w:val="00E07DFA"/>
    <w:rsid w:val="00E07FB2"/>
    <w:rsid w:val="00E1090D"/>
    <w:rsid w:val="00E11CB2"/>
    <w:rsid w:val="00E11E6C"/>
    <w:rsid w:val="00E122CF"/>
    <w:rsid w:val="00E126CB"/>
    <w:rsid w:val="00E12B98"/>
    <w:rsid w:val="00E14A96"/>
    <w:rsid w:val="00E15398"/>
    <w:rsid w:val="00E156BB"/>
    <w:rsid w:val="00E15FA1"/>
    <w:rsid w:val="00E162AC"/>
    <w:rsid w:val="00E164F1"/>
    <w:rsid w:val="00E16B06"/>
    <w:rsid w:val="00E17166"/>
    <w:rsid w:val="00E17177"/>
    <w:rsid w:val="00E17737"/>
    <w:rsid w:val="00E1776D"/>
    <w:rsid w:val="00E17799"/>
    <w:rsid w:val="00E208BE"/>
    <w:rsid w:val="00E21233"/>
    <w:rsid w:val="00E21336"/>
    <w:rsid w:val="00E213EF"/>
    <w:rsid w:val="00E2147F"/>
    <w:rsid w:val="00E21C39"/>
    <w:rsid w:val="00E22034"/>
    <w:rsid w:val="00E2215D"/>
    <w:rsid w:val="00E2326B"/>
    <w:rsid w:val="00E23DD9"/>
    <w:rsid w:val="00E24AD8"/>
    <w:rsid w:val="00E2505E"/>
    <w:rsid w:val="00E2564E"/>
    <w:rsid w:val="00E25836"/>
    <w:rsid w:val="00E25FA8"/>
    <w:rsid w:val="00E26737"/>
    <w:rsid w:val="00E26A3A"/>
    <w:rsid w:val="00E26F1F"/>
    <w:rsid w:val="00E27691"/>
    <w:rsid w:val="00E3020B"/>
    <w:rsid w:val="00E31214"/>
    <w:rsid w:val="00E319B9"/>
    <w:rsid w:val="00E32ABB"/>
    <w:rsid w:val="00E32B8C"/>
    <w:rsid w:val="00E32C79"/>
    <w:rsid w:val="00E33408"/>
    <w:rsid w:val="00E336CA"/>
    <w:rsid w:val="00E345EF"/>
    <w:rsid w:val="00E34B1C"/>
    <w:rsid w:val="00E35DED"/>
    <w:rsid w:val="00E3631D"/>
    <w:rsid w:val="00E3632B"/>
    <w:rsid w:val="00E36475"/>
    <w:rsid w:val="00E364E7"/>
    <w:rsid w:val="00E36534"/>
    <w:rsid w:val="00E367CA"/>
    <w:rsid w:val="00E3700C"/>
    <w:rsid w:val="00E40238"/>
    <w:rsid w:val="00E41256"/>
    <w:rsid w:val="00E416ED"/>
    <w:rsid w:val="00E424DC"/>
    <w:rsid w:val="00E425A2"/>
    <w:rsid w:val="00E43219"/>
    <w:rsid w:val="00E442F2"/>
    <w:rsid w:val="00E447DC"/>
    <w:rsid w:val="00E44C0C"/>
    <w:rsid w:val="00E44D1C"/>
    <w:rsid w:val="00E45523"/>
    <w:rsid w:val="00E45CC1"/>
    <w:rsid w:val="00E45EB1"/>
    <w:rsid w:val="00E46054"/>
    <w:rsid w:val="00E46429"/>
    <w:rsid w:val="00E46DC7"/>
    <w:rsid w:val="00E474F1"/>
    <w:rsid w:val="00E47855"/>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1B0"/>
    <w:rsid w:val="00E5549F"/>
    <w:rsid w:val="00E5610E"/>
    <w:rsid w:val="00E5726B"/>
    <w:rsid w:val="00E5762C"/>
    <w:rsid w:val="00E576E2"/>
    <w:rsid w:val="00E606E4"/>
    <w:rsid w:val="00E60C25"/>
    <w:rsid w:val="00E60C75"/>
    <w:rsid w:val="00E6126E"/>
    <w:rsid w:val="00E62D43"/>
    <w:rsid w:val="00E62E4A"/>
    <w:rsid w:val="00E63604"/>
    <w:rsid w:val="00E63AF2"/>
    <w:rsid w:val="00E63DCC"/>
    <w:rsid w:val="00E63E08"/>
    <w:rsid w:val="00E6436B"/>
    <w:rsid w:val="00E64652"/>
    <w:rsid w:val="00E64FBF"/>
    <w:rsid w:val="00E66219"/>
    <w:rsid w:val="00E664DE"/>
    <w:rsid w:val="00E668DC"/>
    <w:rsid w:val="00E66EE1"/>
    <w:rsid w:val="00E675C9"/>
    <w:rsid w:val="00E67AAE"/>
    <w:rsid w:val="00E7040A"/>
    <w:rsid w:val="00E70900"/>
    <w:rsid w:val="00E70B2A"/>
    <w:rsid w:val="00E70C89"/>
    <w:rsid w:val="00E7135F"/>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632B"/>
    <w:rsid w:val="00E869E9"/>
    <w:rsid w:val="00E878A1"/>
    <w:rsid w:val="00E87921"/>
    <w:rsid w:val="00E90F95"/>
    <w:rsid w:val="00E91553"/>
    <w:rsid w:val="00E916B2"/>
    <w:rsid w:val="00E920E0"/>
    <w:rsid w:val="00E9374B"/>
    <w:rsid w:val="00E93A95"/>
    <w:rsid w:val="00E94CF1"/>
    <w:rsid w:val="00E94F55"/>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35F"/>
    <w:rsid w:val="00EB280C"/>
    <w:rsid w:val="00EB2EC1"/>
    <w:rsid w:val="00EB2F55"/>
    <w:rsid w:val="00EB3524"/>
    <w:rsid w:val="00EB39C6"/>
    <w:rsid w:val="00EB4C0D"/>
    <w:rsid w:val="00EB4E73"/>
    <w:rsid w:val="00EB5569"/>
    <w:rsid w:val="00EB5F48"/>
    <w:rsid w:val="00EB77F2"/>
    <w:rsid w:val="00EB7DEC"/>
    <w:rsid w:val="00EB7E0D"/>
    <w:rsid w:val="00EC028A"/>
    <w:rsid w:val="00EC0419"/>
    <w:rsid w:val="00EC109B"/>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4ACE"/>
    <w:rsid w:val="00EE5F90"/>
    <w:rsid w:val="00EE5FC6"/>
    <w:rsid w:val="00EE61E9"/>
    <w:rsid w:val="00EE6845"/>
    <w:rsid w:val="00EE6C11"/>
    <w:rsid w:val="00EE7A2A"/>
    <w:rsid w:val="00EF01C8"/>
    <w:rsid w:val="00EF0888"/>
    <w:rsid w:val="00EF130F"/>
    <w:rsid w:val="00EF1C59"/>
    <w:rsid w:val="00EF1E33"/>
    <w:rsid w:val="00EF210F"/>
    <w:rsid w:val="00EF2960"/>
    <w:rsid w:val="00EF2BD0"/>
    <w:rsid w:val="00EF3027"/>
    <w:rsid w:val="00EF31DF"/>
    <w:rsid w:val="00EF33AC"/>
    <w:rsid w:val="00EF3924"/>
    <w:rsid w:val="00EF3A02"/>
    <w:rsid w:val="00EF3F89"/>
    <w:rsid w:val="00EF4357"/>
    <w:rsid w:val="00EF4AF1"/>
    <w:rsid w:val="00EF4BD1"/>
    <w:rsid w:val="00EF522C"/>
    <w:rsid w:val="00EF5B2C"/>
    <w:rsid w:val="00EF5D27"/>
    <w:rsid w:val="00EF5D71"/>
    <w:rsid w:val="00EF5D96"/>
    <w:rsid w:val="00EF66C8"/>
    <w:rsid w:val="00EF6780"/>
    <w:rsid w:val="00EF71AD"/>
    <w:rsid w:val="00EF72BE"/>
    <w:rsid w:val="00EF75DA"/>
    <w:rsid w:val="00F006AD"/>
    <w:rsid w:val="00F009A4"/>
    <w:rsid w:val="00F00B1B"/>
    <w:rsid w:val="00F00CC2"/>
    <w:rsid w:val="00F013CB"/>
    <w:rsid w:val="00F015E4"/>
    <w:rsid w:val="00F03329"/>
    <w:rsid w:val="00F03BDD"/>
    <w:rsid w:val="00F03C38"/>
    <w:rsid w:val="00F03DE2"/>
    <w:rsid w:val="00F04759"/>
    <w:rsid w:val="00F05966"/>
    <w:rsid w:val="00F060EB"/>
    <w:rsid w:val="00F10328"/>
    <w:rsid w:val="00F10EB7"/>
    <w:rsid w:val="00F112B5"/>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16C"/>
    <w:rsid w:val="00F2131C"/>
    <w:rsid w:val="00F2165A"/>
    <w:rsid w:val="00F21906"/>
    <w:rsid w:val="00F21EDB"/>
    <w:rsid w:val="00F22129"/>
    <w:rsid w:val="00F22366"/>
    <w:rsid w:val="00F242EA"/>
    <w:rsid w:val="00F253E8"/>
    <w:rsid w:val="00F261D0"/>
    <w:rsid w:val="00F2694D"/>
    <w:rsid w:val="00F2760B"/>
    <w:rsid w:val="00F3103D"/>
    <w:rsid w:val="00F327F2"/>
    <w:rsid w:val="00F33744"/>
    <w:rsid w:val="00F33790"/>
    <w:rsid w:val="00F3379A"/>
    <w:rsid w:val="00F337AD"/>
    <w:rsid w:val="00F34191"/>
    <w:rsid w:val="00F3447D"/>
    <w:rsid w:val="00F348F3"/>
    <w:rsid w:val="00F35079"/>
    <w:rsid w:val="00F35164"/>
    <w:rsid w:val="00F3540F"/>
    <w:rsid w:val="00F358C6"/>
    <w:rsid w:val="00F35997"/>
    <w:rsid w:val="00F36026"/>
    <w:rsid w:val="00F366B8"/>
    <w:rsid w:val="00F37A49"/>
    <w:rsid w:val="00F40171"/>
    <w:rsid w:val="00F40ACD"/>
    <w:rsid w:val="00F40CAE"/>
    <w:rsid w:val="00F40DF7"/>
    <w:rsid w:val="00F40FB8"/>
    <w:rsid w:val="00F418AD"/>
    <w:rsid w:val="00F41A47"/>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5E1D"/>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AB0"/>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63E4"/>
    <w:rsid w:val="00F768B3"/>
    <w:rsid w:val="00F778D4"/>
    <w:rsid w:val="00F778FB"/>
    <w:rsid w:val="00F779BB"/>
    <w:rsid w:val="00F77CE5"/>
    <w:rsid w:val="00F8002A"/>
    <w:rsid w:val="00F8026B"/>
    <w:rsid w:val="00F8030B"/>
    <w:rsid w:val="00F80BB7"/>
    <w:rsid w:val="00F80D90"/>
    <w:rsid w:val="00F8111E"/>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4D33"/>
    <w:rsid w:val="00F95083"/>
    <w:rsid w:val="00F950FE"/>
    <w:rsid w:val="00F95638"/>
    <w:rsid w:val="00F9588F"/>
    <w:rsid w:val="00F95971"/>
    <w:rsid w:val="00F95D05"/>
    <w:rsid w:val="00F96189"/>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3AE"/>
    <w:rsid w:val="00FA359C"/>
    <w:rsid w:val="00FA3932"/>
    <w:rsid w:val="00FA395C"/>
    <w:rsid w:val="00FA3B6D"/>
    <w:rsid w:val="00FA49DE"/>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3F4B"/>
    <w:rsid w:val="00FB4D12"/>
    <w:rsid w:val="00FB5490"/>
    <w:rsid w:val="00FB6C74"/>
    <w:rsid w:val="00FB7C24"/>
    <w:rsid w:val="00FC0018"/>
    <w:rsid w:val="00FC07D9"/>
    <w:rsid w:val="00FC09F3"/>
    <w:rsid w:val="00FC0EE4"/>
    <w:rsid w:val="00FC12DD"/>
    <w:rsid w:val="00FC183B"/>
    <w:rsid w:val="00FC22FD"/>
    <w:rsid w:val="00FC29AF"/>
    <w:rsid w:val="00FC29E4"/>
    <w:rsid w:val="00FC2D32"/>
    <w:rsid w:val="00FC3CC5"/>
    <w:rsid w:val="00FC4EB9"/>
    <w:rsid w:val="00FC4F15"/>
    <w:rsid w:val="00FC4FE2"/>
    <w:rsid w:val="00FC6312"/>
    <w:rsid w:val="00FC6956"/>
    <w:rsid w:val="00FC6AD3"/>
    <w:rsid w:val="00FC6C29"/>
    <w:rsid w:val="00FC71ED"/>
    <w:rsid w:val="00FC7D56"/>
    <w:rsid w:val="00FD067F"/>
    <w:rsid w:val="00FD0B96"/>
    <w:rsid w:val="00FD0BCD"/>
    <w:rsid w:val="00FD1220"/>
    <w:rsid w:val="00FD214B"/>
    <w:rsid w:val="00FD29BB"/>
    <w:rsid w:val="00FD2D07"/>
    <w:rsid w:val="00FD4296"/>
    <w:rsid w:val="00FD49DC"/>
    <w:rsid w:val="00FD5391"/>
    <w:rsid w:val="00FD5ACF"/>
    <w:rsid w:val="00FD5F7E"/>
    <w:rsid w:val="00FD6069"/>
    <w:rsid w:val="00FD60DA"/>
    <w:rsid w:val="00FD7078"/>
    <w:rsid w:val="00FD7BCA"/>
    <w:rsid w:val="00FE0393"/>
    <w:rsid w:val="00FE0636"/>
    <w:rsid w:val="00FE093E"/>
    <w:rsid w:val="00FE0D70"/>
    <w:rsid w:val="00FE141B"/>
    <w:rsid w:val="00FE1FAE"/>
    <w:rsid w:val="00FE2C0A"/>
    <w:rsid w:val="00FE2DE6"/>
    <w:rsid w:val="00FE30A1"/>
    <w:rsid w:val="00FE3447"/>
    <w:rsid w:val="00FE3783"/>
    <w:rsid w:val="00FE3D23"/>
    <w:rsid w:val="00FE41DC"/>
    <w:rsid w:val="00FE4B96"/>
    <w:rsid w:val="00FE68AF"/>
    <w:rsid w:val="00FE6959"/>
    <w:rsid w:val="00FF016E"/>
    <w:rsid w:val="00FF037F"/>
    <w:rsid w:val="00FF05E5"/>
    <w:rsid w:val="00FF0F80"/>
    <w:rsid w:val="00FF10B4"/>
    <w:rsid w:val="00FF1120"/>
    <w:rsid w:val="00FF12A0"/>
    <w:rsid w:val="00FF1ABA"/>
    <w:rsid w:val="00FF279A"/>
    <w:rsid w:val="00FF29FA"/>
    <w:rsid w:val="00FF3404"/>
    <w:rsid w:val="00FF3579"/>
    <w:rsid w:val="00FF3A81"/>
    <w:rsid w:val="00FF3B5F"/>
    <w:rsid w:val="00FF3DE9"/>
    <w:rsid w:val="00FF4695"/>
    <w:rsid w:val="00FF4B69"/>
    <w:rsid w:val="00FF53CD"/>
    <w:rsid w:val="00FF583B"/>
    <w:rsid w:val="00FF58E7"/>
    <w:rsid w:val="00FF5B41"/>
    <w:rsid w:val="00FF6DAE"/>
    <w:rsid w:val="00FF75C2"/>
    <w:rsid w:val="00FF7660"/>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C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AE"/>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0C"/>
    <w:pPr>
      <w:spacing w:after="120" w:line="276" w:lineRule="auto"/>
    </w:pPr>
    <w:rPr>
      <w:rFonts w:ascii="Times New Roman" w:hAnsi="Times New Roman"/>
      <w:sz w:val="24"/>
      <w:szCs w:val="22"/>
      <w:lang w:val="en-US"/>
    </w:rPr>
  </w:style>
  <w:style w:type="paragraph" w:styleId="Heading1">
    <w:name w:val="heading 1"/>
    <w:basedOn w:val="Normal"/>
    <w:next w:val="Normal"/>
    <w:link w:val="Heading1Char"/>
    <w:uiPriority w:val="9"/>
    <w:qFormat/>
    <w:rsid w:val="00720471"/>
    <w:pPr>
      <w:keepNext/>
      <w:keepLines/>
      <w:spacing w:before="240" w:after="240"/>
      <w:ind w:left="720" w:hanging="720"/>
      <w:outlineLvl w:val="0"/>
    </w:pPr>
    <w:rPr>
      <w:rFonts w:eastAsia="Times New Roman"/>
      <w:b/>
      <w:bCs/>
      <w:color w:val="800000"/>
      <w:kern w:val="32"/>
      <w:sz w:val="32"/>
      <w:szCs w:val="28"/>
      <w:lang w:val="en-GB"/>
    </w:rPr>
  </w:style>
  <w:style w:type="paragraph" w:styleId="Heading2">
    <w:name w:val="heading 2"/>
    <w:basedOn w:val="Normal"/>
    <w:next w:val="Normal"/>
    <w:link w:val="Heading2Char"/>
    <w:uiPriority w:val="99"/>
    <w:qFormat/>
    <w:rsid w:val="003E5366"/>
    <w:pPr>
      <w:keepNext/>
      <w:keepLines/>
      <w:spacing w:before="240" w:after="24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AE7A4D"/>
    <w:pPr>
      <w:keepNext/>
      <w:keepLines/>
      <w:spacing w:before="240"/>
      <w:ind w:left="720" w:hanging="720"/>
      <w:outlineLvl w:val="2"/>
    </w:pPr>
    <w:rPr>
      <w:rFonts w:eastAsia="Times New Roman"/>
      <w:b/>
      <w:bCs/>
      <w:color w:val="660066"/>
      <w:szCs w:val="24"/>
      <w:lang w:val="en-GB"/>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2047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3E5366"/>
    <w:rPr>
      <w:rFonts w:ascii="Times New Roman" w:eastAsia="Times New Roman" w:hAnsi="Times New Roman"/>
      <w:b/>
      <w:bCs/>
      <w:iCs/>
      <w:color w:val="0000FF"/>
      <w:sz w:val="28"/>
      <w:szCs w:val="28"/>
      <w:lang w:val="en-US"/>
    </w:rPr>
  </w:style>
  <w:style w:type="character" w:customStyle="1" w:styleId="Heading3Char">
    <w:name w:val="Heading 3 Char"/>
    <w:link w:val="Heading3"/>
    <w:uiPriority w:val="9"/>
    <w:locked/>
    <w:rsid w:val="00AE7A4D"/>
    <w:rPr>
      <w:rFonts w:ascii="Times New Roman" w:eastAsia="Times New Roman" w:hAnsi="Times New Roman"/>
      <w:b/>
      <w:bCs/>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en-US"/>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en-GB" w:eastAsia="en-GB"/>
    </w:rPr>
  </w:style>
  <w:style w:type="character" w:customStyle="1" w:styleId="Heading6Char">
    <w:name w:val="Heading 6 Char"/>
    <w:link w:val="Heading6"/>
    <w:uiPriority w:val="9"/>
    <w:locked/>
    <w:rsid w:val="003A6724"/>
    <w:rPr>
      <w:rFonts w:eastAsia="Times New Roman"/>
      <w:b/>
      <w:bCs/>
      <w:lang w:val="en-US"/>
    </w:rPr>
  </w:style>
  <w:style w:type="character" w:customStyle="1" w:styleId="Heading7Char">
    <w:name w:val="Heading 7 Char"/>
    <w:link w:val="Heading7"/>
    <w:uiPriority w:val="9"/>
    <w:locked/>
    <w:rsid w:val="003A6724"/>
    <w:rPr>
      <w:rFonts w:eastAsia="Times New Roman"/>
      <w:sz w:val="22"/>
      <w:szCs w:val="24"/>
      <w:lang w:val="en-US"/>
    </w:rPr>
  </w:style>
  <w:style w:type="character" w:customStyle="1" w:styleId="Heading8Char">
    <w:name w:val="Heading 8 Char"/>
    <w:link w:val="Heading8"/>
    <w:uiPriority w:val="9"/>
    <w:locked/>
    <w:rsid w:val="003A6724"/>
    <w:rPr>
      <w:rFonts w:eastAsia="Times New Roman"/>
      <w:i/>
      <w:iCs/>
      <w:sz w:val="22"/>
      <w:szCs w:val="24"/>
      <w:lang w:val="en-US"/>
    </w:rPr>
  </w:style>
  <w:style w:type="character" w:customStyle="1" w:styleId="Heading9Char">
    <w:name w:val="Heading 9 Char"/>
    <w:link w:val="Heading9"/>
    <w:uiPriority w:val="9"/>
    <w:locked/>
    <w:rsid w:val="003A6724"/>
    <w:rPr>
      <w:rFonts w:ascii="Cambria" w:eastAsia="Times New Roman" w:hAnsi="Cambria"/>
      <w:lang w:val="en-US"/>
    </w:rPr>
  </w:style>
  <w:style w:type="paragraph" w:customStyle="1" w:styleId="Normalboldhead">
    <w:name w:val="Normal bold head"/>
    <w:basedOn w:val="Normal"/>
    <w:qFormat/>
    <w:rsid w:val="00A5640C"/>
    <w:pPr>
      <w:keepNext/>
      <w:keepLines/>
      <w:spacing w:before="240"/>
    </w:pPr>
    <w:rPr>
      <w:b/>
      <w:lang w:val="en-GB" w:eastAsia="ja-JP"/>
    </w:rPr>
  </w:style>
  <w:style w:type="paragraph" w:customStyle="1" w:styleId="Headgeneral14">
    <w:name w:val="Head general 14"/>
    <w:basedOn w:val="Normalboldhead"/>
    <w:qFormat/>
    <w:rsid w:val="00321D50"/>
    <w:pPr>
      <w:spacing w:after="240"/>
    </w:pPr>
    <w:rPr>
      <w:sz w:val="28"/>
    </w:rPr>
  </w:style>
  <w:style w:type="character" w:styleId="Hyperlink">
    <w:name w:val="Hyperlink"/>
    <w:uiPriority w:val="99"/>
    <w:rsid w:val="00073B2F"/>
    <w:rPr>
      <w:noProof/>
      <w:color w:val="0000FF"/>
      <w:u w:val="single"/>
    </w:rPr>
  </w:style>
  <w:style w:type="paragraph" w:styleId="TOC2">
    <w:name w:val="toc 2"/>
    <w:basedOn w:val="Normal"/>
    <w:next w:val="Normal"/>
    <w:uiPriority w:val="39"/>
    <w:qFormat/>
    <w:rsid w:val="00291AF5"/>
    <w:pPr>
      <w:tabs>
        <w:tab w:val="left" w:pos="993"/>
        <w:tab w:val="right" w:leader="dot" w:pos="9072"/>
      </w:tabs>
      <w:spacing w:after="60" w:line="240" w:lineRule="auto"/>
      <w:ind w:left="227"/>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en-US"/>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Centered">
    <w:name w:val="Style Caption + Centered"/>
    <w:basedOn w:val="Normal"/>
    <w:uiPriority w:val="99"/>
    <w:rsid w:val="00321D50"/>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rPr>
      <w:lang w:val="en-GB"/>
    </w:r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paragraph" w:styleId="Header">
    <w:name w:val="header"/>
    <w:basedOn w:val="Normal"/>
    <w:link w:val="HeaderChar"/>
    <w:unhideWhenUsed/>
    <w:locked/>
    <w:rsid w:val="00CE4343"/>
    <w:pPr>
      <w:tabs>
        <w:tab w:val="center" w:pos="4320"/>
        <w:tab w:val="right" w:pos="8640"/>
      </w:tabs>
      <w:spacing w:after="0" w:line="240" w:lineRule="auto"/>
    </w:p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en-US"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spacing w:after="60"/>
      <w:ind w:left="0" w:firstLine="0"/>
      <w:outlineLvl w:val="9"/>
    </w:pPr>
    <w:rPr>
      <w:rFonts w:ascii="Cambria" w:eastAsia="SimSun" w:hAnsi="Cambria"/>
      <w:lang w:eastAsia="en-US"/>
    </w:rPr>
  </w:style>
  <w:style w:type="paragraph" w:styleId="TOC1">
    <w:name w:val="toc 1"/>
    <w:basedOn w:val="Normal"/>
    <w:next w:val="Normal"/>
    <w:uiPriority w:val="39"/>
    <w:qFormat/>
    <w:rsid w:val="00291AF5"/>
    <w:pPr>
      <w:tabs>
        <w:tab w:val="left" w:pos="426"/>
        <w:tab w:val="right" w:leader="dot" w:pos="9072"/>
      </w:tabs>
      <w:spacing w:after="60"/>
    </w:pPr>
    <w:rPr>
      <w:rFonts w:eastAsia="Times New Roman"/>
      <w:b/>
      <w:noProof/>
      <w:szCs w:val="24"/>
    </w:rPr>
  </w:style>
  <w:style w:type="paragraph" w:styleId="TOC3">
    <w:name w:val="toc 3"/>
    <w:basedOn w:val="Normal"/>
    <w:next w:val="Normal"/>
    <w:uiPriority w:val="39"/>
    <w:qFormat/>
    <w:rsid w:val="00291AF5"/>
    <w:pPr>
      <w:tabs>
        <w:tab w:val="left" w:pos="2127"/>
        <w:tab w:val="right" w:leader="dot" w:pos="9072"/>
      </w:tabs>
      <w:spacing w:after="60" w:line="240" w:lineRule="auto"/>
      <w:ind w:left="454"/>
    </w:pPr>
    <w:rPr>
      <w:rFonts w:eastAsia="Times New Roman"/>
      <w:noProof/>
      <w:szCs w:val="24"/>
    </w:rPr>
  </w:style>
  <w:style w:type="character" w:customStyle="1" w:styleId="BalloonTextChar">
    <w:name w:val="Balloon Text Char"/>
    <w:uiPriority w:val="99"/>
    <w:locked/>
    <w:rsid w:val="00913572"/>
    <w:rPr>
      <w:rFonts w:ascii="Tahoma" w:hAnsi="Tahoma"/>
      <w:sz w:val="16"/>
      <w:lang w:val="en-US"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en-US"/>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en-GB" w:eastAsia="en-US"/>
    </w:rPr>
  </w:style>
  <w:style w:type="paragraph" w:styleId="TOC4">
    <w:name w:val="toc 4"/>
    <w:basedOn w:val="TOC3"/>
    <w:next w:val="Normal"/>
    <w:autoRedefine/>
    <w:uiPriority w:val="39"/>
    <w:qFormat/>
    <w:rsid w:val="007F19C4"/>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en-US"/>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en-US"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en-US"/>
    </w:rPr>
  </w:style>
  <w:style w:type="paragraph" w:customStyle="1" w:styleId="TableText">
    <w:name w:val="Table Text"/>
    <w:basedOn w:val="Normal"/>
    <w:uiPriority w:val="99"/>
    <w:rsid w:val="00913572"/>
    <w:pPr>
      <w:spacing w:before="40" w:after="40"/>
      <w:contextualSpacing/>
    </w:pPr>
    <w:rPr>
      <w:rFonts w:eastAsia="Times New Roman"/>
      <w:sz w:val="18"/>
      <w:szCs w:val="20"/>
      <w:lang w:val="en-CA"/>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en-US" w:eastAsia="en-GB"/>
    </w:rPr>
  </w:style>
  <w:style w:type="paragraph" w:styleId="CommentText">
    <w:name w:val="annotation text"/>
    <w:basedOn w:val="Normal"/>
    <w:link w:val="CommentTextChar1"/>
    <w:uiPriority w:val="99"/>
    <w:rsid w:val="00230B6D"/>
    <w:rPr>
      <w:sz w:val="20"/>
      <w:szCs w:val="20"/>
      <w:lang w:eastAsia="en-US"/>
    </w:rPr>
  </w:style>
  <w:style w:type="character" w:customStyle="1" w:styleId="CommentTextChar1">
    <w:name w:val="Comment Text Char1"/>
    <w:link w:val="CommentText"/>
    <w:uiPriority w:val="99"/>
    <w:locked/>
    <w:rsid w:val="00230B6D"/>
    <w:rPr>
      <w:rFonts w:ascii="Times New Roman" w:hAnsi="Times New Roman"/>
      <w:lang w:val="en-US" w:eastAsia="en-US"/>
    </w:rPr>
  </w:style>
  <w:style w:type="character" w:customStyle="1" w:styleId="CommentSubjectChar">
    <w:name w:val="Comment Subject Char"/>
    <w:uiPriority w:val="99"/>
    <w:semiHidden/>
    <w:locked/>
    <w:rsid w:val="00913572"/>
    <w:rPr>
      <w:rFonts w:ascii="Times New Roman" w:hAnsi="Times New Roman"/>
      <w:b/>
      <w:sz w:val="20"/>
      <w:lang w:val="en-US"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en-GB"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paragraph" w:customStyle="1" w:styleId="Bulletlist">
    <w:name w:val="Bullet list"/>
    <w:basedOn w:val="Normal"/>
    <w:qFormat/>
    <w:rsid w:val="00337BFD"/>
    <w:pPr>
      <w:numPr>
        <w:numId w:val="33"/>
      </w:numPr>
    </w:pPr>
    <w:rPr>
      <w:lang w:val="en-GB" w:eastAsia="de-DE"/>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lang w:val="en-ZA"/>
    </w:rPr>
  </w:style>
  <w:style w:type="paragraph" w:customStyle="1" w:styleId="Normalitalic">
    <w:name w:val="Normal italic"/>
    <w:basedOn w:val="Normal"/>
    <w:qFormat/>
    <w:rsid w:val="00321D50"/>
    <w:rPr>
      <w:i/>
      <w:lang w:val="en-GB"/>
    </w:rPr>
  </w:style>
  <w:style w:type="paragraph" w:customStyle="1" w:styleId="Body">
    <w:name w:val="Body"/>
    <w:uiPriority w:val="99"/>
    <w:rsid w:val="008412B6"/>
    <w:rPr>
      <w:rFonts w:ascii="Helvetica" w:eastAsia="ヒラギノ角ゴ Pro W3" w:hAnsi="Helvetica"/>
      <w:color w:val="000000"/>
      <w:sz w:val="24"/>
      <w:lang w:val="en-US"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en-US" w:eastAsia="en-GB" w:bidi="ar-AE"/>
    </w:rPr>
  </w:style>
  <w:style w:type="character" w:customStyle="1" w:styleId="CharChar3">
    <w:name w:val="Char Char3"/>
    <w:uiPriority w:val="99"/>
    <w:rsid w:val="0016029E"/>
    <w:rPr>
      <w:rFonts w:ascii="Times New Roman" w:eastAsia="Times New Roman" w:hAnsi="Times New Roman" w:cs="Times New Roman"/>
      <w:sz w:val="20"/>
      <w:szCs w:val="20"/>
      <w:lang w:val="en-US" w:eastAsia="en-GB"/>
    </w:rPr>
  </w:style>
  <w:style w:type="paragraph" w:customStyle="1" w:styleId="Inhaltsverzeichnisberschrift1">
    <w:name w:val="Inhaltsverzeichnisüberschrift1"/>
    <w:basedOn w:val="Heading1"/>
    <w:next w:val="Normal"/>
    <w:uiPriority w:val="99"/>
    <w:rsid w:val="003A6724"/>
    <w:pPr>
      <w:spacing w:before="480"/>
      <w:ind w:left="0" w:firstLine="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val="en-US"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paragraph" w:customStyle="1" w:styleId="Figurehead">
    <w:name w:val="Figure head"/>
    <w:basedOn w:val="Normal"/>
    <w:qFormat/>
    <w:rsid w:val="001E6E52"/>
    <w:pPr>
      <w:keepNext/>
      <w:keepLines/>
      <w:spacing w:before="240"/>
    </w:pPr>
    <w:rPr>
      <w:b/>
      <w:lang w:val="en-GB"/>
    </w:rPr>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en-GB" w:eastAsia="en-GB"/>
    </w:rPr>
  </w:style>
  <w:style w:type="character" w:customStyle="1" w:styleId="A1">
    <w:name w:val="A1"/>
    <w:uiPriority w:val="99"/>
    <w:rsid w:val="00270A1A"/>
    <w:rPr>
      <w:rFonts w:cs="Myriad Pro Cond"/>
      <w:b/>
      <w:bCs/>
      <w:color w:val="1F358C"/>
      <w:sz w:val="40"/>
      <w:szCs w:val="40"/>
    </w:rPr>
  </w:style>
  <w:style w:type="paragraph" w:customStyle="1" w:styleId="Tabletext0">
    <w:name w:val="Table text"/>
    <w:basedOn w:val="Normal"/>
    <w:qFormat/>
    <w:rsid w:val="00F04759"/>
    <w:pPr>
      <w:spacing w:after="60"/>
    </w:pPr>
    <w:rPr>
      <w:sz w:val="22"/>
      <w:lang w:val="en-GB"/>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A5640C"/>
    <w:pPr>
      <w:keepNext/>
      <w:keepLines/>
      <w:spacing w:before="240" w:after="240" w:line="360" w:lineRule="auto"/>
      <w:jc w:val="center"/>
    </w:pPr>
    <w:rPr>
      <w:rFonts w:eastAsia="MS Gothic" w:cstheme="minorBidi"/>
      <w:b/>
      <w:spacing w:val="5"/>
      <w:kern w:val="28"/>
      <w:sz w:val="32"/>
      <w:szCs w:val="220"/>
      <w:lang w:val="de-CH" w:eastAsia="ja-JP"/>
    </w:rPr>
  </w:style>
  <w:style w:type="character" w:customStyle="1" w:styleId="TitleChar">
    <w:name w:val="Title Char"/>
    <w:basedOn w:val="DefaultParagraphFont"/>
    <w:link w:val="Title"/>
    <w:uiPriority w:val="10"/>
    <w:rsid w:val="00A5640C"/>
    <w:rPr>
      <w:rFonts w:ascii="Times New Roman" w:eastAsia="MS Gothic" w:hAnsi="Times New Roman" w:cstheme="minorBidi"/>
      <w:b/>
      <w:spacing w:val="5"/>
      <w:kern w:val="28"/>
      <w:sz w:val="32"/>
      <w:szCs w:val="220"/>
      <w:lang w:val="de-CH" w:eastAsia="ja-JP"/>
    </w:rPr>
  </w:style>
  <w:style w:type="character" w:customStyle="1" w:styleId="HeaderChar">
    <w:name w:val="Header Char"/>
    <w:basedOn w:val="DefaultParagraphFont"/>
    <w:link w:val="Header"/>
    <w:rsid w:val="00CE4343"/>
    <w:rPr>
      <w:rFonts w:ascii="Times New Roman" w:hAnsi="Times New Roman"/>
      <w:sz w:val="24"/>
      <w:szCs w:val="22"/>
      <w:lang w:val="en-US"/>
    </w:rPr>
  </w:style>
  <w:style w:type="paragraph" w:customStyle="1" w:styleId="Pa7">
    <w:name w:val="Pa7"/>
    <w:basedOn w:val="Normal"/>
    <w:next w:val="Normal"/>
    <w:uiPriority w:val="99"/>
    <w:rsid w:val="00A17287"/>
    <w:pPr>
      <w:autoSpaceDE w:val="0"/>
      <w:autoSpaceDN w:val="0"/>
      <w:adjustRightInd w:val="0"/>
      <w:spacing w:after="0" w:line="201" w:lineRule="atLeast"/>
    </w:pPr>
    <w:rPr>
      <w:rFonts w:ascii="Myriad Pro" w:hAnsi="Myriad Pro"/>
      <w:szCs w:val="24"/>
      <w:lang w:val="de-CH"/>
    </w:rPr>
  </w:style>
  <w:style w:type="table" w:customStyle="1" w:styleId="TableGrid1">
    <w:name w:val="Table Grid1"/>
    <w:basedOn w:val="TableNormal"/>
    <w:next w:val="TableGrid"/>
    <w:uiPriority w:val="59"/>
    <w:rsid w:val="00867B51"/>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A17287"/>
    <w:pPr>
      <w:autoSpaceDE w:val="0"/>
      <w:autoSpaceDN w:val="0"/>
      <w:adjustRightInd w:val="0"/>
      <w:spacing w:after="0" w:line="281" w:lineRule="atLeast"/>
    </w:pPr>
    <w:rPr>
      <w:rFonts w:ascii="Myriad Pro" w:hAnsi="Myriad Pro"/>
      <w:szCs w:val="24"/>
      <w:lang w:val="de-CH"/>
    </w:rPr>
  </w:style>
  <w:style w:type="paragraph" w:customStyle="1" w:styleId="Pa6">
    <w:name w:val="Pa6"/>
    <w:basedOn w:val="Normal"/>
    <w:next w:val="Normal"/>
    <w:uiPriority w:val="99"/>
    <w:rsid w:val="00A17287"/>
    <w:pPr>
      <w:autoSpaceDE w:val="0"/>
      <w:autoSpaceDN w:val="0"/>
      <w:adjustRightInd w:val="0"/>
      <w:spacing w:after="0" w:line="201" w:lineRule="atLeast"/>
    </w:pPr>
    <w:rPr>
      <w:rFonts w:ascii="Myriad Pro" w:hAnsi="Myriad Pro"/>
      <w:szCs w:val="24"/>
      <w:lang w:val="de-CH"/>
    </w:rPr>
  </w:style>
  <w:style w:type="paragraph" w:customStyle="1" w:styleId="Pa22">
    <w:name w:val="Pa22"/>
    <w:basedOn w:val="Normal"/>
    <w:next w:val="Normal"/>
    <w:uiPriority w:val="99"/>
    <w:rsid w:val="00A17287"/>
    <w:pPr>
      <w:autoSpaceDE w:val="0"/>
      <w:autoSpaceDN w:val="0"/>
      <w:adjustRightInd w:val="0"/>
      <w:spacing w:after="0" w:line="241" w:lineRule="atLeast"/>
    </w:pPr>
    <w:rPr>
      <w:rFonts w:ascii="Myriad Pro" w:hAnsi="Myriad Pro"/>
      <w:szCs w:val="24"/>
      <w:lang w:val="de-CH"/>
    </w:rPr>
  </w:style>
  <w:style w:type="paragraph" w:customStyle="1" w:styleId="Pa10">
    <w:name w:val="Pa10"/>
    <w:basedOn w:val="Normal"/>
    <w:next w:val="Normal"/>
    <w:uiPriority w:val="99"/>
    <w:rsid w:val="00A17287"/>
    <w:pPr>
      <w:autoSpaceDE w:val="0"/>
      <w:autoSpaceDN w:val="0"/>
      <w:adjustRightInd w:val="0"/>
      <w:spacing w:after="0" w:line="201" w:lineRule="atLeast"/>
    </w:pPr>
    <w:rPr>
      <w:rFonts w:ascii="Myriad Pro" w:hAnsi="Myriad Pro"/>
      <w:szCs w:val="24"/>
      <w:lang w:val="de-CH"/>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Annexsubhead">
    <w:name w:val="Annex subhead"/>
    <w:basedOn w:val="Heading2"/>
    <w:qFormat/>
    <w:rsid w:val="000144F9"/>
    <w:pPr>
      <w:spacing w:after="120"/>
      <w:ind w:left="720" w:hanging="720"/>
    </w:pPr>
    <w:rPr>
      <w:lang w:val="en-GB"/>
    </w:rPr>
  </w:style>
  <w:style w:type="paragraph" w:customStyle="1" w:styleId="Undertext">
    <w:name w:val="Undertext"/>
    <w:basedOn w:val="Normal"/>
    <w:qFormat/>
    <w:rsid w:val="008E4408"/>
    <w:pPr>
      <w:spacing w:before="120"/>
    </w:pPr>
    <w:rPr>
      <w:sz w:val="20"/>
      <w:lang w:val="en-GB"/>
    </w:rPr>
  </w:style>
  <w:style w:type="paragraph" w:customStyle="1" w:styleId="Tablehead">
    <w:name w:val="Table head"/>
    <w:basedOn w:val="Figurehead"/>
    <w:qFormat/>
    <w:rsid w:val="008E4408"/>
  </w:style>
  <w:style w:type="paragraph" w:customStyle="1" w:styleId="Normal12before">
    <w:name w:val="Normal 12 before"/>
    <w:basedOn w:val="Normal"/>
    <w:qFormat/>
    <w:rsid w:val="00D32A65"/>
    <w:pPr>
      <w:spacing w:before="240"/>
    </w:pPr>
    <w:rPr>
      <w:szCs w:val="24"/>
      <w:lang w:val="en-GB"/>
    </w:rPr>
  </w:style>
  <w:style w:type="paragraph" w:styleId="Footer">
    <w:name w:val="footer"/>
    <w:basedOn w:val="Normal"/>
    <w:link w:val="FooterChar"/>
    <w:uiPriority w:val="99"/>
    <w:unhideWhenUsed/>
    <w:locked/>
    <w:rsid w:val="00CE43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343"/>
    <w:rPr>
      <w:rFonts w:ascii="Times New Roman" w:hAnsi="Times New Roman"/>
      <w:sz w:val="24"/>
      <w:szCs w:val="22"/>
      <w:lang w:val="en-US"/>
    </w:rPr>
  </w:style>
  <w:style w:type="paragraph" w:customStyle="1" w:styleId="Bulletlist2">
    <w:name w:val="Bullet list2"/>
    <w:basedOn w:val="Normal"/>
    <w:qFormat/>
    <w:rsid w:val="00DC1850"/>
    <w:pPr>
      <w:numPr>
        <w:numId w:val="38"/>
      </w:numPr>
    </w:pPr>
    <w:rPr>
      <w:lang w:val="en-GB"/>
    </w:rPr>
  </w:style>
  <w:style w:type="paragraph" w:customStyle="1" w:styleId="Listnumbered">
    <w:name w:val="List numbered"/>
    <w:basedOn w:val="Normal"/>
    <w:qFormat/>
    <w:rsid w:val="00C20934"/>
    <w:pPr>
      <w:numPr>
        <w:numId w:val="39"/>
      </w:numPr>
    </w:pPr>
    <w:rPr>
      <w:lang w:val="en-GB"/>
    </w:rPr>
  </w:style>
  <w:style w:type="paragraph" w:customStyle="1" w:styleId="Referencelist">
    <w:name w:val="Reference list"/>
    <w:basedOn w:val="Normal"/>
    <w:qFormat/>
    <w:rsid w:val="00662FC6"/>
    <w:pPr>
      <w:ind w:left="720" w:hanging="720"/>
    </w:pPr>
    <w:rPr>
      <w:rFonts w:eastAsiaTheme="minorHAnsi" w:cstheme="minorBidi"/>
      <w:lang w:val="en-GB" w:eastAsia="en-US"/>
    </w:rPr>
  </w:style>
  <w:style w:type="paragraph" w:customStyle="1" w:styleId="SGabbrevs">
    <w:name w:val="SG abbrevs"/>
    <w:basedOn w:val="Normal"/>
    <w:qFormat/>
    <w:rsid w:val="006703F4"/>
    <w:pPr>
      <w:spacing w:after="60" w:line="240" w:lineRule="auto"/>
      <w:ind w:left="1985" w:hanging="1985"/>
    </w:pPr>
    <w:rPr>
      <w:rFonts w:eastAsia="Times New Roman"/>
      <w:szCs w:val="24"/>
      <w:lang w:val="en-GB" w:eastAsia="en-US"/>
    </w:rPr>
  </w:style>
  <w:style w:type="paragraph" w:styleId="TableofFigures">
    <w:name w:val="table of figures"/>
    <w:basedOn w:val="Normal"/>
    <w:next w:val="Normal"/>
    <w:uiPriority w:val="99"/>
    <w:unhideWhenUsed/>
    <w:locked/>
    <w:rsid w:val="00516C62"/>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10050391">
      <w:bodyDiv w:val="1"/>
      <w:marLeft w:val="0"/>
      <w:marRight w:val="0"/>
      <w:marTop w:val="0"/>
      <w:marBottom w:val="0"/>
      <w:divBdr>
        <w:top w:val="none" w:sz="0" w:space="0" w:color="auto"/>
        <w:left w:val="none" w:sz="0" w:space="0" w:color="auto"/>
        <w:bottom w:val="none" w:sz="0" w:space="0" w:color="auto"/>
        <w:right w:val="none" w:sz="0" w:space="0" w:color="auto"/>
      </w:divBdr>
      <w:divsChild>
        <w:div w:id="1280992681">
          <w:marLeft w:val="0"/>
          <w:marRight w:val="0"/>
          <w:marTop w:val="450"/>
          <w:marBottom w:val="300"/>
          <w:divBdr>
            <w:top w:val="none" w:sz="0" w:space="0" w:color="auto"/>
            <w:left w:val="none" w:sz="0" w:space="0" w:color="auto"/>
            <w:bottom w:val="single" w:sz="6" w:space="8" w:color="E8E8E8"/>
            <w:right w:val="none" w:sz="0" w:space="0" w:color="auto"/>
          </w:divBdr>
        </w:div>
        <w:div w:id="201208632">
          <w:marLeft w:val="-225"/>
          <w:marRight w:val="-225"/>
          <w:marTop w:val="0"/>
          <w:marBottom w:val="0"/>
          <w:divBdr>
            <w:top w:val="none" w:sz="0" w:space="0" w:color="auto"/>
            <w:left w:val="none" w:sz="0" w:space="0" w:color="auto"/>
            <w:bottom w:val="none" w:sz="0" w:space="0" w:color="auto"/>
            <w:right w:val="none" w:sz="0" w:space="0" w:color="auto"/>
          </w:divBdr>
          <w:divsChild>
            <w:div w:id="375279982">
              <w:marLeft w:val="0"/>
              <w:marRight w:val="0"/>
              <w:marTop w:val="0"/>
              <w:marBottom w:val="0"/>
              <w:divBdr>
                <w:top w:val="none" w:sz="0" w:space="0" w:color="auto"/>
                <w:left w:val="none" w:sz="0" w:space="0" w:color="auto"/>
                <w:bottom w:val="none" w:sz="0" w:space="0" w:color="auto"/>
                <w:right w:val="none" w:sz="0" w:space="0" w:color="auto"/>
              </w:divBdr>
              <w:divsChild>
                <w:div w:id="1434130764">
                  <w:marLeft w:val="0"/>
                  <w:marRight w:val="0"/>
                  <w:marTop w:val="225"/>
                  <w:marBottom w:val="0"/>
                  <w:divBdr>
                    <w:top w:val="none" w:sz="0" w:space="0" w:color="auto"/>
                    <w:left w:val="none" w:sz="0" w:space="0" w:color="auto"/>
                    <w:bottom w:val="none" w:sz="0" w:space="0" w:color="auto"/>
                    <w:right w:val="none" w:sz="0" w:space="0" w:color="auto"/>
                  </w:divBdr>
                  <w:divsChild>
                    <w:div w:id="36047691">
                      <w:marLeft w:val="0"/>
                      <w:marRight w:val="0"/>
                      <w:marTop w:val="0"/>
                      <w:marBottom w:val="0"/>
                      <w:divBdr>
                        <w:top w:val="none" w:sz="0" w:space="0" w:color="auto"/>
                        <w:left w:val="none" w:sz="0" w:space="0" w:color="auto"/>
                        <w:bottom w:val="none" w:sz="0" w:space="0" w:color="auto"/>
                        <w:right w:val="none" w:sz="0" w:space="0" w:color="auto"/>
                      </w:divBdr>
                      <w:divsChild>
                        <w:div w:id="841775963">
                          <w:marLeft w:val="0"/>
                          <w:marRight w:val="0"/>
                          <w:marTop w:val="0"/>
                          <w:marBottom w:val="0"/>
                          <w:divBdr>
                            <w:top w:val="none" w:sz="0" w:space="0" w:color="auto"/>
                            <w:left w:val="none" w:sz="0" w:space="0" w:color="auto"/>
                            <w:bottom w:val="none" w:sz="0" w:space="0" w:color="auto"/>
                            <w:right w:val="none" w:sz="0" w:space="0" w:color="auto"/>
                          </w:divBdr>
                          <w:divsChild>
                            <w:div w:id="9730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204175329">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5475">
      <w:bodyDiv w:val="1"/>
      <w:marLeft w:val="0"/>
      <w:marRight w:val="0"/>
      <w:marTop w:val="0"/>
      <w:marBottom w:val="0"/>
      <w:divBdr>
        <w:top w:val="none" w:sz="0" w:space="0" w:color="auto"/>
        <w:left w:val="none" w:sz="0" w:space="0" w:color="auto"/>
        <w:bottom w:val="none" w:sz="0" w:space="0" w:color="auto"/>
        <w:right w:val="none" w:sz="0" w:space="0" w:color="auto"/>
      </w:divBdr>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23776096">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899559997">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775125972">
      <w:bodyDiv w:val="1"/>
      <w:marLeft w:val="0"/>
      <w:marRight w:val="0"/>
      <w:marTop w:val="0"/>
      <w:marBottom w:val="0"/>
      <w:divBdr>
        <w:top w:val="none" w:sz="0" w:space="0" w:color="auto"/>
        <w:left w:val="none" w:sz="0" w:space="0" w:color="auto"/>
        <w:bottom w:val="none" w:sz="0" w:space="0" w:color="auto"/>
        <w:right w:val="none" w:sz="0" w:space="0" w:color="auto"/>
      </w:divBdr>
      <w:divsChild>
        <w:div w:id="1602178438">
          <w:marLeft w:val="0"/>
          <w:marRight w:val="0"/>
          <w:marTop w:val="450"/>
          <w:marBottom w:val="300"/>
          <w:divBdr>
            <w:top w:val="none" w:sz="0" w:space="0" w:color="auto"/>
            <w:left w:val="none" w:sz="0" w:space="0" w:color="auto"/>
            <w:bottom w:val="single" w:sz="6" w:space="8" w:color="E8E8E8"/>
            <w:right w:val="none" w:sz="0" w:space="0" w:color="auto"/>
          </w:divBdr>
        </w:div>
        <w:div w:id="1228951480">
          <w:marLeft w:val="-225"/>
          <w:marRight w:val="-225"/>
          <w:marTop w:val="0"/>
          <w:marBottom w:val="0"/>
          <w:divBdr>
            <w:top w:val="none" w:sz="0" w:space="0" w:color="auto"/>
            <w:left w:val="none" w:sz="0" w:space="0" w:color="auto"/>
            <w:bottom w:val="none" w:sz="0" w:space="0" w:color="auto"/>
            <w:right w:val="none" w:sz="0" w:space="0" w:color="auto"/>
          </w:divBdr>
          <w:divsChild>
            <w:div w:id="1935437747">
              <w:marLeft w:val="0"/>
              <w:marRight w:val="0"/>
              <w:marTop w:val="0"/>
              <w:marBottom w:val="0"/>
              <w:divBdr>
                <w:top w:val="none" w:sz="0" w:space="0" w:color="auto"/>
                <w:left w:val="none" w:sz="0" w:space="0" w:color="auto"/>
                <w:bottom w:val="none" w:sz="0" w:space="0" w:color="auto"/>
                <w:right w:val="none" w:sz="0" w:space="0" w:color="auto"/>
              </w:divBdr>
              <w:divsChild>
                <w:div w:id="2112510992">
                  <w:marLeft w:val="0"/>
                  <w:marRight w:val="0"/>
                  <w:marTop w:val="225"/>
                  <w:marBottom w:val="0"/>
                  <w:divBdr>
                    <w:top w:val="none" w:sz="0" w:space="0" w:color="auto"/>
                    <w:left w:val="none" w:sz="0" w:space="0" w:color="auto"/>
                    <w:bottom w:val="none" w:sz="0" w:space="0" w:color="auto"/>
                    <w:right w:val="none" w:sz="0" w:space="0" w:color="auto"/>
                  </w:divBdr>
                  <w:divsChild>
                    <w:div w:id="251087924">
                      <w:marLeft w:val="0"/>
                      <w:marRight w:val="0"/>
                      <w:marTop w:val="0"/>
                      <w:marBottom w:val="0"/>
                      <w:divBdr>
                        <w:top w:val="none" w:sz="0" w:space="0" w:color="auto"/>
                        <w:left w:val="none" w:sz="0" w:space="0" w:color="auto"/>
                        <w:bottom w:val="none" w:sz="0" w:space="0" w:color="auto"/>
                        <w:right w:val="none" w:sz="0" w:space="0" w:color="auto"/>
                      </w:divBdr>
                      <w:divsChild>
                        <w:div w:id="786240997">
                          <w:marLeft w:val="0"/>
                          <w:marRight w:val="0"/>
                          <w:marTop w:val="0"/>
                          <w:marBottom w:val="0"/>
                          <w:divBdr>
                            <w:top w:val="none" w:sz="0" w:space="0" w:color="auto"/>
                            <w:left w:val="none" w:sz="0" w:space="0" w:color="auto"/>
                            <w:bottom w:val="none" w:sz="0" w:space="0" w:color="auto"/>
                            <w:right w:val="none" w:sz="0" w:space="0" w:color="auto"/>
                          </w:divBdr>
                          <w:divsChild>
                            <w:div w:id="2008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03982797">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004313341">
      <w:bodyDiv w:val="1"/>
      <w:marLeft w:val="0"/>
      <w:marRight w:val="0"/>
      <w:marTop w:val="0"/>
      <w:marBottom w:val="0"/>
      <w:divBdr>
        <w:top w:val="none" w:sz="0" w:space="0" w:color="auto"/>
        <w:left w:val="none" w:sz="0" w:space="0" w:color="auto"/>
        <w:bottom w:val="none" w:sz="0" w:space="0" w:color="auto"/>
        <w:right w:val="none" w:sz="0" w:space="0" w:color="auto"/>
      </w:divBdr>
    </w:div>
    <w:div w:id="2087409889">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C23991EECEB4A8EAB8ECAAE7AD0CF" ma:contentTypeVersion="13" ma:contentTypeDescription="Create a new document." ma:contentTypeScope="" ma:versionID="f997335a9fd565d500b01909dc74544c">
  <xsd:schema xmlns:xsd="http://www.w3.org/2001/XMLSchema" xmlns:xs="http://www.w3.org/2001/XMLSchema" xmlns:p="http://schemas.microsoft.com/office/2006/metadata/properties" xmlns:ns3="bb4f8073-93a1-465b-87c4-8c49d7c6b515" xmlns:ns4="078369ba-19cc-4f7a-aff4-2e3b345129a2" targetNamespace="http://schemas.microsoft.com/office/2006/metadata/properties" ma:root="true" ma:fieldsID="e2c83197544dfa91849ac32c1829559f" ns3:_="" ns4:_="">
    <xsd:import namespace="bb4f8073-93a1-465b-87c4-8c49d7c6b515"/>
    <xsd:import namespace="078369ba-19cc-4f7a-aff4-2e3b345129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f8073-93a1-465b-87c4-8c49d7c6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69ba-19cc-4f7a-aff4-2e3b345129a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A300-0E31-410A-BF17-0A5BA3FF1A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39442-70B2-4BDF-899A-A29A1F4A2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f8073-93a1-465b-87c4-8c49d7c6b515"/>
    <ds:schemaRef ds:uri="078369ba-19cc-4f7a-aff4-2e3b34512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AEA7C-0AC4-4CDF-B974-9DC83C5BBB5C}">
  <ds:schemaRefs>
    <ds:schemaRef ds:uri="http://schemas.microsoft.com/sharepoint/v3/contenttype/forms"/>
  </ds:schemaRefs>
</ds:datastoreItem>
</file>

<file path=customXml/itemProps4.xml><?xml version="1.0" encoding="utf-8"?>
<ds:datastoreItem xmlns:ds="http://schemas.openxmlformats.org/officeDocument/2006/customXml" ds:itemID="{2C9DAFD1-07BA-4372-AE4A-A20EEFFE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11519</Words>
  <Characters>65659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77024</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2021-05-05T12:41:00Z</dcterms:created>
  <dcterms:modified xsi:type="dcterms:W3CDTF">2021-05-05T12:41:00Z</dcterms:modified>
</cp:coreProperties>
</file>